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jpeg" ContentType="image/jpe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widowControl/>
        <w:suppressAutoHyphens w:val="true"/>
        <w:overflowPunct w:val="false"/>
        <w:bidi w:val="0"/>
        <w:spacing w:lineRule="auto" w:line="276" w:before="0" w:after="0"/>
        <w:ind w:hanging="0" w:left="0" w:right="0"/>
        <w:jc w:val="center"/>
        <w:rPr>
          <w:rFonts w:ascii="Verdana" w:hAnsi="Verdana"/>
          <w:sz w:val="20"/>
          <w:szCs w:val="20"/>
        </w:rPr>
      </w:pPr>
      <w:r>
        <w:rPr>
          <w:rFonts w:cs="Arial" w:ascii="Verdana" w:hAnsi="Verdana"/>
          <w:b/>
          <w:bCs/>
          <w:color w:val="000000"/>
          <w:sz w:val="20"/>
          <w:szCs w:val="20"/>
        </w:rPr>
        <w:t xml:space="preserve">ANEXO I </w:t>
      </w:r>
    </w:p>
    <w:p>
      <w:pPr>
        <w:pStyle w:val="Normal"/>
        <w:spacing w:lineRule="auto" w:line="276"/>
        <w:jc w:val="center"/>
        <w:rPr>
          <w:rFonts w:ascii="Verdana" w:hAnsi="Verdana"/>
          <w:sz w:val="20"/>
          <w:szCs w:val="20"/>
        </w:rPr>
      </w:pPr>
      <w:r>
        <w:rPr/>
      </w:r>
    </w:p>
    <w:p>
      <w:pPr>
        <w:pStyle w:val="Normal"/>
        <w:spacing w:lineRule="auto" w:line="276"/>
        <w:jc w:val="center"/>
        <w:rPr>
          <w:rFonts w:ascii="Verdana" w:hAnsi="Verdana"/>
          <w:sz w:val="20"/>
          <w:szCs w:val="20"/>
        </w:rPr>
      </w:pPr>
      <w:r>
        <w:rPr>
          <w:rFonts w:cs="Arial" w:ascii="Verdana" w:hAnsi="Verdana"/>
          <w:b/>
          <w:bCs/>
          <w:color w:val="000000"/>
          <w:sz w:val="20"/>
          <w:szCs w:val="20"/>
        </w:rPr>
        <w:t>TERMO DE REFERÊNCIA – LEI 14.133/21</w:t>
      </w:r>
    </w:p>
    <w:p>
      <w:pPr>
        <w:pStyle w:val="Normal"/>
        <w:spacing w:lineRule="auto" w:line="276"/>
        <w:jc w:val="center"/>
        <w:rPr>
          <w:rFonts w:ascii="Verdana" w:hAnsi="Verdana"/>
          <w:sz w:val="20"/>
          <w:szCs w:val="20"/>
        </w:rPr>
      </w:pPr>
      <w:r>
        <w:rPr>
          <w:rFonts w:ascii="Verdana" w:hAnsi="Verdana"/>
          <w:sz w:val="20"/>
          <w:szCs w:val="20"/>
        </w:rPr>
      </w:r>
    </w:p>
    <w:p>
      <w:pPr>
        <w:pStyle w:val="Normal"/>
        <w:spacing w:lineRule="auto" w:line="276"/>
        <w:jc w:val="center"/>
        <w:rPr>
          <w:rFonts w:ascii="Verdana" w:hAnsi="Verdana"/>
          <w:sz w:val="20"/>
          <w:szCs w:val="20"/>
        </w:rPr>
      </w:pPr>
      <w:r>
        <w:rPr>
          <w:rFonts w:ascii="Verdana" w:hAnsi="Verdana"/>
          <w:b/>
          <w:bCs/>
          <w:iCs/>
          <w:color w:val="000000"/>
          <w:sz w:val="20"/>
          <w:szCs w:val="20"/>
        </w:rPr>
        <w:t>AQUISIÇÃO DE MATERIAIS PERMANENTES PARA A APAE</w:t>
      </w:r>
    </w:p>
    <w:p>
      <w:pPr>
        <w:pStyle w:val="Normal"/>
        <w:spacing w:lineRule="auto" w:line="276"/>
        <w:jc w:val="center"/>
        <w:rPr>
          <w:rFonts w:ascii="Verdana" w:hAnsi="Verdana"/>
          <w:i w:val="false"/>
          <w:i w:val="false"/>
          <w:iCs w:val="false"/>
          <w:sz w:val="20"/>
          <w:szCs w:val="20"/>
        </w:rPr>
      </w:pPr>
      <w:r>
        <w:rPr>
          <w:rFonts w:ascii="Verdana" w:hAnsi="Verdana"/>
          <w:i w:val="false"/>
          <w:iCs w:val="false"/>
          <w:sz w:val="20"/>
          <w:szCs w:val="20"/>
        </w:rPr>
      </w:r>
    </w:p>
    <w:p>
      <w:pPr>
        <w:pStyle w:val="Normal"/>
        <w:spacing w:lineRule="auto" w:line="276" w:before="0" w:after="0"/>
        <w:jc w:val="center"/>
        <w:rPr>
          <w:rFonts w:ascii="Verdana" w:hAnsi="Verdana"/>
          <w:sz w:val="20"/>
          <w:szCs w:val="20"/>
        </w:rPr>
      </w:pPr>
      <w:r>
        <w:rPr>
          <w:rFonts w:cs="Arial" w:ascii="Verdana" w:hAnsi="Verdana"/>
          <w:b/>
          <w:bCs/>
          <w:i w:val="false"/>
          <w:iCs w:val="false"/>
          <w:color w:val="000000"/>
          <w:sz w:val="20"/>
          <w:szCs w:val="20"/>
        </w:rPr>
        <w:t xml:space="preserve">Processo Administrativo nº </w:t>
      </w:r>
      <w:r>
        <w:rPr>
          <w:rFonts w:eastAsia="Times New Roman" w:cs="Times New Roman" w:ascii="Verdana" w:hAnsi="Verdana"/>
          <w:b/>
          <w:bCs/>
          <w:i w:val="false"/>
          <w:iCs w:val="false"/>
          <w:color w:val="000000"/>
          <w:sz w:val="20"/>
          <w:szCs w:val="20"/>
        </w:rPr>
        <w:t>004722</w:t>
      </w:r>
      <w:r>
        <w:rPr>
          <w:rFonts w:cs="Arial" w:ascii="Verdana" w:hAnsi="Verdana"/>
          <w:b/>
          <w:bCs/>
          <w:i w:val="false"/>
          <w:iCs w:val="false"/>
          <w:color w:val="000000"/>
          <w:sz w:val="20"/>
          <w:szCs w:val="20"/>
        </w:rPr>
        <w:t>/2024 de 21 de junho de 2024 (Secretaria Municipal de Assistência, Desenvolvimento Social e Família)</w:t>
      </w:r>
    </w:p>
    <w:p>
      <w:pPr>
        <w:pStyle w:val="Normal"/>
        <w:spacing w:lineRule="auto" w:line="360"/>
        <w:jc w:val="center"/>
        <w:rPr>
          <w:rFonts w:ascii="Verdana" w:hAnsi="Verdana" w:cs="Arial"/>
          <w:b/>
          <w:bCs/>
          <w:color w:val="000000"/>
          <w:sz w:val="20"/>
          <w:szCs w:val="20"/>
        </w:rPr>
      </w:pPr>
      <w:r>
        <w:rPr>
          <w:rFonts w:cs="Arial" w:ascii="Verdana" w:hAnsi="Verdana"/>
          <w:b/>
          <w:bCs/>
          <w:color w:val="000000"/>
          <w:sz w:val="20"/>
          <w:szCs w:val="20"/>
        </w:rPr>
      </w:r>
    </w:p>
    <w:p>
      <w:pPr>
        <w:pStyle w:val="Nivel1"/>
        <w:spacing w:lineRule="auto" w:line="360" w:before="0" w:after="0"/>
        <w:ind w:hanging="0" w:left="0" w:right="0"/>
        <w:rPr/>
      </w:pPr>
      <w:r>
        <w:rPr>
          <w:rFonts w:cs="Times New Roman" w:ascii="Verdana" w:hAnsi="Verdana"/>
          <w:bCs/>
          <w:sz w:val="20"/>
          <w:szCs w:val="20"/>
        </w:rPr>
        <w:t>1. DAS CONDIÇÕES GERAIS DA CONTRATAÇÃO</w:t>
      </w:r>
    </w:p>
    <w:p>
      <w:pPr>
        <w:pStyle w:val="ListParagraph"/>
        <w:tabs>
          <w:tab w:val="clear" w:pos="708"/>
          <w:tab w:val="left" w:pos="0" w:leader="none"/>
        </w:tabs>
        <w:suppressAutoHyphens w:val="false"/>
        <w:spacing w:lineRule="auto" w:line="360"/>
        <w:ind w:hanging="0" w:left="0" w:right="0"/>
        <w:jc w:val="both"/>
        <w:rPr/>
      </w:pPr>
      <w:r>
        <w:rPr>
          <w:rFonts w:ascii="Verdana" w:hAnsi="Verdana"/>
          <w:b w:val="false"/>
          <w:bCs w:val="false"/>
          <w:iCs/>
          <w:sz w:val="20"/>
          <w:szCs w:val="20"/>
        </w:rPr>
        <w:t>1.1 A</w:t>
      </w:r>
      <w:r>
        <w:rPr>
          <w:rFonts w:ascii="Verdana" w:hAnsi="Verdana"/>
          <w:iCs/>
          <w:sz w:val="20"/>
          <w:szCs w:val="20"/>
        </w:rPr>
        <w:t>quisição de material permeante para serem utilizados na Associação de Pais e Amigos dos Excepcionais – APAE, deste município, no sentido de garantir melhor ambiente de convivência e desenvolvimento de atividades aos acolhidos, rela</w:t>
      </w:r>
      <w:r>
        <w:rPr>
          <w:rFonts w:eastAsia="Times New Roman" w:cs="Times New Roman" w:ascii="Verdana" w:hAnsi="Verdana"/>
          <w:iCs/>
          <w:color w:val="000000"/>
          <w:sz w:val="20"/>
          <w:szCs w:val="20"/>
        </w:rPr>
        <w:t xml:space="preserve">cionados e especificados constantes neste processo, no ETP e na Solicitação de Compras de Materiais anexo nos autos </w:t>
      </w:r>
    </w:p>
    <w:tbl>
      <w:tblPr>
        <w:tblW w:w="9360" w:type="dxa"/>
        <w:jc w:val="left"/>
        <w:tblInd w:w="88" w:type="dxa"/>
        <w:tblLayout w:type="fixed"/>
        <w:tblCellMar>
          <w:top w:w="55" w:type="dxa"/>
          <w:left w:w="55" w:type="dxa"/>
          <w:bottom w:w="55" w:type="dxa"/>
          <w:right w:w="55" w:type="dxa"/>
        </w:tblCellMar>
      </w:tblPr>
      <w:tblGrid>
        <w:gridCol w:w="741"/>
        <w:gridCol w:w="4306"/>
        <w:gridCol w:w="724"/>
        <w:gridCol w:w="864"/>
        <w:gridCol w:w="1361"/>
        <w:gridCol w:w="1363"/>
      </w:tblGrid>
      <w:tr>
        <w:trPr>
          <w:trHeight w:val="794" w:hRule="atLeast"/>
        </w:trPr>
        <w:tc>
          <w:tcPr>
            <w:tcW w:w="741" w:type="dxa"/>
            <w:tcBorders>
              <w:top w:val="single" w:sz="2" w:space="0" w:color="000000"/>
              <w:left w:val="single" w:sz="2" w:space="0" w:color="000000"/>
              <w:bottom w:val="single" w:sz="2" w:space="0" w:color="000000"/>
            </w:tcBorders>
            <w:vAlign w:val="center"/>
          </w:tcPr>
          <w:p>
            <w:pPr>
              <w:pStyle w:val="Contedodatabela"/>
              <w:widowControl w:val="false"/>
              <w:spacing w:lineRule="auto" w:line="276"/>
              <w:jc w:val="center"/>
              <w:rPr>
                <w:rFonts w:ascii="Verdana" w:hAnsi="Verdana"/>
                <w:sz w:val="20"/>
                <w:szCs w:val="20"/>
              </w:rPr>
            </w:pPr>
            <w:r>
              <w:rPr>
                <w:rFonts w:ascii="Verdana" w:hAnsi="Verdana"/>
                <w:b/>
                <w:bCs/>
                <w:color w:val="000000"/>
                <w:sz w:val="20"/>
                <w:szCs w:val="20"/>
              </w:rPr>
              <w:t>Item</w:t>
            </w:r>
          </w:p>
        </w:tc>
        <w:tc>
          <w:tcPr>
            <w:tcW w:w="4306" w:type="dxa"/>
            <w:tcBorders>
              <w:top w:val="single" w:sz="2" w:space="0" w:color="000000"/>
              <w:left w:val="single" w:sz="2" w:space="0" w:color="000000"/>
              <w:bottom w:val="single" w:sz="2" w:space="0" w:color="000000"/>
            </w:tcBorders>
            <w:vAlign w:val="center"/>
          </w:tcPr>
          <w:p>
            <w:pPr>
              <w:pStyle w:val="Contedodatabela"/>
              <w:widowControl w:val="false"/>
              <w:spacing w:lineRule="auto" w:line="276"/>
              <w:jc w:val="center"/>
              <w:rPr>
                <w:rFonts w:ascii="Verdana" w:hAnsi="Verdana"/>
                <w:sz w:val="20"/>
                <w:szCs w:val="20"/>
              </w:rPr>
            </w:pPr>
            <w:r>
              <w:rPr>
                <w:rFonts w:ascii="Verdana" w:hAnsi="Verdana"/>
                <w:b/>
                <w:bCs/>
                <w:color w:val="000000"/>
                <w:sz w:val="20"/>
                <w:szCs w:val="20"/>
              </w:rPr>
              <w:t>Descrição</w:t>
            </w:r>
          </w:p>
        </w:tc>
        <w:tc>
          <w:tcPr>
            <w:tcW w:w="724" w:type="dxa"/>
            <w:tcBorders>
              <w:top w:val="single" w:sz="2" w:space="0" w:color="000000"/>
              <w:left w:val="single" w:sz="2" w:space="0" w:color="000000"/>
              <w:bottom w:val="single" w:sz="2" w:space="0" w:color="000000"/>
            </w:tcBorders>
            <w:vAlign w:val="center"/>
          </w:tcPr>
          <w:p>
            <w:pPr>
              <w:pStyle w:val="Contedodatabela"/>
              <w:widowControl w:val="false"/>
              <w:spacing w:lineRule="auto" w:line="276"/>
              <w:jc w:val="center"/>
              <w:rPr>
                <w:rFonts w:ascii="Verdana" w:hAnsi="Verdana"/>
                <w:sz w:val="20"/>
                <w:szCs w:val="20"/>
              </w:rPr>
            </w:pPr>
            <w:r>
              <w:rPr>
                <w:rFonts w:ascii="Verdana" w:hAnsi="Verdana"/>
                <w:b/>
                <w:bCs/>
                <w:color w:val="000000"/>
                <w:sz w:val="20"/>
                <w:szCs w:val="20"/>
              </w:rPr>
              <w:t>Und.</w:t>
            </w:r>
          </w:p>
        </w:tc>
        <w:tc>
          <w:tcPr>
            <w:tcW w:w="864" w:type="dxa"/>
            <w:tcBorders>
              <w:top w:val="single" w:sz="2" w:space="0" w:color="000000"/>
              <w:left w:val="single" w:sz="2" w:space="0" w:color="000000"/>
              <w:bottom w:val="single" w:sz="2" w:space="0" w:color="000000"/>
            </w:tcBorders>
            <w:vAlign w:val="center"/>
          </w:tcPr>
          <w:p>
            <w:pPr>
              <w:pStyle w:val="Contedodatabela"/>
              <w:widowControl w:val="false"/>
              <w:spacing w:lineRule="auto" w:line="276"/>
              <w:jc w:val="center"/>
              <w:rPr>
                <w:rFonts w:ascii="Verdana" w:hAnsi="Verdana"/>
                <w:sz w:val="20"/>
                <w:szCs w:val="20"/>
              </w:rPr>
            </w:pPr>
            <w:r>
              <w:rPr>
                <w:rFonts w:ascii="Verdana" w:hAnsi="Verdana"/>
                <w:b/>
                <w:bCs/>
                <w:color w:val="000000"/>
                <w:sz w:val="20"/>
                <w:szCs w:val="20"/>
              </w:rPr>
              <w:t>Quant.</w:t>
            </w:r>
          </w:p>
        </w:tc>
        <w:tc>
          <w:tcPr>
            <w:tcW w:w="1361" w:type="dxa"/>
            <w:tcBorders>
              <w:top w:val="single" w:sz="2" w:space="0" w:color="000000"/>
              <w:left w:val="single" w:sz="2" w:space="0" w:color="000000"/>
              <w:bottom w:val="single" w:sz="2" w:space="0" w:color="000000"/>
            </w:tcBorders>
            <w:vAlign w:val="center"/>
          </w:tcPr>
          <w:p>
            <w:pPr>
              <w:pStyle w:val="Contedodatabela"/>
              <w:widowControl w:val="false"/>
              <w:spacing w:lineRule="auto" w:line="276"/>
              <w:jc w:val="center"/>
              <w:rPr>
                <w:rFonts w:ascii="Verdana" w:hAnsi="Verdana"/>
                <w:sz w:val="20"/>
                <w:szCs w:val="20"/>
              </w:rPr>
            </w:pPr>
            <w:r>
              <w:rPr>
                <w:rFonts w:ascii="Verdana" w:hAnsi="Verdana"/>
                <w:b/>
                <w:bCs/>
                <w:color w:val="000000"/>
                <w:sz w:val="20"/>
                <w:szCs w:val="20"/>
              </w:rPr>
              <w:t>Valor estimado unitário</w:t>
            </w:r>
          </w:p>
        </w:tc>
        <w:tc>
          <w:tcPr>
            <w:tcW w:w="1363" w:type="dxa"/>
            <w:tcBorders>
              <w:top w:val="single" w:sz="2" w:space="0" w:color="000000"/>
              <w:left w:val="single" w:sz="2" w:space="0" w:color="000000"/>
              <w:bottom w:val="single" w:sz="2" w:space="0" w:color="000000"/>
              <w:right w:val="single" w:sz="2" w:space="0" w:color="000000"/>
            </w:tcBorders>
            <w:vAlign w:val="center"/>
          </w:tcPr>
          <w:p>
            <w:pPr>
              <w:pStyle w:val="Contedodatabela"/>
              <w:widowControl w:val="false"/>
              <w:spacing w:lineRule="auto" w:line="276"/>
              <w:jc w:val="center"/>
              <w:rPr>
                <w:rFonts w:ascii="Verdana" w:hAnsi="Verdana"/>
                <w:sz w:val="20"/>
                <w:szCs w:val="20"/>
              </w:rPr>
            </w:pPr>
            <w:r>
              <w:rPr>
                <w:rFonts w:ascii="Verdana" w:hAnsi="Verdana"/>
                <w:b/>
                <w:bCs/>
                <w:color w:val="000000"/>
                <w:sz w:val="20"/>
                <w:szCs w:val="20"/>
              </w:rPr>
              <w:t>Valor estimado total</w:t>
            </w:r>
          </w:p>
        </w:tc>
      </w:tr>
      <w:tr>
        <w:trPr>
          <w:trHeight w:val="565" w:hRule="atLeast"/>
        </w:trPr>
        <w:tc>
          <w:tcPr>
            <w:tcW w:w="741" w:type="dxa"/>
            <w:tcBorders>
              <w:left w:val="single" w:sz="2" w:space="0" w:color="000000"/>
              <w:bottom w:val="single" w:sz="2" w:space="0" w:color="000000"/>
            </w:tcBorders>
            <w:vAlign w:val="center"/>
          </w:tcPr>
          <w:p>
            <w:pPr>
              <w:pStyle w:val="Contedodatabela"/>
              <w:widowControl w:val="false"/>
              <w:spacing w:lineRule="auto" w:line="276"/>
              <w:jc w:val="center"/>
              <w:rPr>
                <w:rFonts w:ascii="Verdana" w:hAnsi="Verdana"/>
                <w:sz w:val="20"/>
                <w:szCs w:val="20"/>
              </w:rPr>
            </w:pPr>
            <w:r>
              <w:rPr>
                <w:rFonts w:ascii="Verdana" w:hAnsi="Verdana"/>
                <w:color w:val="000000"/>
                <w:sz w:val="20"/>
                <w:szCs w:val="20"/>
              </w:rPr>
              <w:t>01</w:t>
            </w:r>
          </w:p>
        </w:tc>
        <w:tc>
          <w:tcPr>
            <w:tcW w:w="4306" w:type="dxa"/>
            <w:tcBorders>
              <w:left w:val="single" w:sz="2" w:space="0" w:color="000000"/>
              <w:bottom w:val="single" w:sz="2" w:space="0" w:color="000000"/>
            </w:tcBorders>
            <w:vAlign w:val="center"/>
          </w:tcPr>
          <w:p>
            <w:pPr>
              <w:pStyle w:val="TableParagraph"/>
              <w:spacing w:lineRule="auto" w:line="276"/>
              <w:ind w:left="30" w:right="0"/>
              <w:rPr>
                <w:rFonts w:ascii="Verdana" w:hAnsi="Verdana"/>
                <w:sz w:val="20"/>
                <w:szCs w:val="20"/>
                <w:lang w:val="pt-BR" w:eastAsia="en-US" w:bidi="ar-SA"/>
              </w:rPr>
            </w:pPr>
            <w:r>
              <w:rPr>
                <w:rFonts w:ascii="Verdana" w:hAnsi="Verdana"/>
                <w:color w:val="000000"/>
                <w:spacing w:val="-2"/>
                <w:sz w:val="20"/>
                <w:szCs w:val="20"/>
                <w:lang w:val="pt-BR" w:eastAsia="en-US" w:bidi="ar-SA"/>
              </w:rPr>
              <w:t>Aro de basquete com rede</w:t>
            </w:r>
          </w:p>
        </w:tc>
        <w:tc>
          <w:tcPr>
            <w:tcW w:w="724" w:type="dxa"/>
            <w:tcBorders>
              <w:left w:val="single" w:sz="2" w:space="0" w:color="000000"/>
              <w:bottom w:val="single" w:sz="2" w:space="0" w:color="000000"/>
            </w:tcBorders>
            <w:vAlign w:val="center"/>
          </w:tcPr>
          <w:p>
            <w:pPr>
              <w:pStyle w:val="TableParagraph"/>
              <w:spacing w:lineRule="auto" w:line="276"/>
              <w:jc w:val="center"/>
              <w:rPr>
                <w:rFonts w:ascii="Verdana" w:hAnsi="Verdana"/>
                <w:sz w:val="20"/>
                <w:szCs w:val="20"/>
              </w:rPr>
            </w:pPr>
            <w:r>
              <w:rPr>
                <w:rFonts w:ascii="Verdana" w:hAnsi="Verdana"/>
                <w:color w:val="000000"/>
                <w:spacing w:val="-5"/>
                <w:sz w:val="20"/>
                <w:szCs w:val="20"/>
              </w:rPr>
              <w:t>Und.</w:t>
            </w:r>
          </w:p>
        </w:tc>
        <w:tc>
          <w:tcPr>
            <w:tcW w:w="864" w:type="dxa"/>
            <w:tcBorders>
              <w:left w:val="single" w:sz="2" w:space="0" w:color="000000"/>
              <w:bottom w:val="single" w:sz="2" w:space="0" w:color="000000"/>
            </w:tcBorders>
            <w:vAlign w:val="center"/>
          </w:tcPr>
          <w:p>
            <w:pPr>
              <w:pStyle w:val="TableParagraph"/>
              <w:spacing w:lineRule="auto" w:line="276"/>
              <w:jc w:val="center"/>
              <w:rPr>
                <w:rFonts w:ascii="Verdana" w:hAnsi="Verdana"/>
                <w:sz w:val="20"/>
                <w:szCs w:val="20"/>
              </w:rPr>
            </w:pPr>
            <w:r>
              <w:rPr>
                <w:rFonts w:ascii="Verdana" w:hAnsi="Verdana"/>
                <w:color w:val="000000"/>
                <w:spacing w:val="-2"/>
                <w:sz w:val="20"/>
                <w:szCs w:val="20"/>
              </w:rPr>
              <w:t>01</w:t>
            </w:r>
          </w:p>
        </w:tc>
        <w:tc>
          <w:tcPr>
            <w:tcW w:w="1361" w:type="dxa"/>
            <w:tcBorders>
              <w:left w:val="single" w:sz="2" w:space="0" w:color="000000"/>
              <w:bottom w:val="single" w:sz="2" w:space="0" w:color="000000"/>
            </w:tcBorders>
            <w:vAlign w:val="center"/>
          </w:tcPr>
          <w:p>
            <w:pPr>
              <w:pStyle w:val="TableParagraph"/>
              <w:spacing w:lineRule="auto" w:line="276"/>
              <w:jc w:val="right"/>
              <w:rPr>
                <w:rFonts w:ascii="Verdana" w:hAnsi="Verdana"/>
                <w:sz w:val="20"/>
                <w:szCs w:val="20"/>
              </w:rPr>
            </w:pPr>
            <w:r>
              <w:rPr>
                <w:rFonts w:ascii="Verdana" w:hAnsi="Verdana"/>
                <w:color w:val="000000"/>
                <w:spacing w:val="-2"/>
                <w:sz w:val="20"/>
                <w:szCs w:val="20"/>
              </w:rPr>
              <w:t>R$ 169,87</w:t>
            </w:r>
          </w:p>
        </w:tc>
        <w:tc>
          <w:tcPr>
            <w:tcW w:w="1363" w:type="dxa"/>
            <w:tcBorders>
              <w:left w:val="single" w:sz="2" w:space="0" w:color="000000"/>
              <w:bottom w:val="single" w:sz="2" w:space="0" w:color="000000"/>
              <w:right w:val="single" w:sz="2" w:space="0" w:color="000000"/>
            </w:tcBorders>
            <w:vAlign w:val="center"/>
          </w:tcPr>
          <w:p>
            <w:pPr>
              <w:pStyle w:val="TableParagraph"/>
              <w:spacing w:lineRule="auto" w:line="276"/>
              <w:jc w:val="right"/>
              <w:rPr>
                <w:rFonts w:ascii="Verdana" w:hAnsi="Verdana"/>
                <w:sz w:val="20"/>
                <w:szCs w:val="20"/>
              </w:rPr>
            </w:pPr>
            <w:r>
              <w:rPr>
                <w:rFonts w:ascii="Verdana" w:hAnsi="Verdana"/>
                <w:color w:val="000000"/>
                <w:spacing w:val="-2"/>
                <w:sz w:val="20"/>
                <w:szCs w:val="20"/>
              </w:rPr>
              <w:t>R$ 169,87</w:t>
            </w:r>
          </w:p>
        </w:tc>
      </w:tr>
      <w:tr>
        <w:trPr>
          <w:trHeight w:val="1196" w:hRule="atLeast"/>
        </w:trPr>
        <w:tc>
          <w:tcPr>
            <w:tcW w:w="741" w:type="dxa"/>
            <w:tcBorders>
              <w:left w:val="single" w:sz="2" w:space="0" w:color="000000"/>
              <w:bottom w:val="single" w:sz="2" w:space="0" w:color="000000"/>
            </w:tcBorders>
            <w:vAlign w:val="center"/>
          </w:tcPr>
          <w:p>
            <w:pPr>
              <w:pStyle w:val="Contedodatabela"/>
              <w:widowControl w:val="false"/>
              <w:spacing w:lineRule="auto" w:line="276"/>
              <w:jc w:val="center"/>
              <w:rPr>
                <w:rFonts w:ascii="Verdana" w:hAnsi="Verdana"/>
                <w:sz w:val="20"/>
                <w:szCs w:val="20"/>
              </w:rPr>
            </w:pPr>
            <w:r>
              <w:rPr>
                <w:rFonts w:ascii="Verdana" w:hAnsi="Verdana"/>
                <w:color w:val="000000"/>
                <w:sz w:val="20"/>
                <w:szCs w:val="20"/>
              </w:rPr>
              <w:t>02</w:t>
            </w:r>
          </w:p>
        </w:tc>
        <w:tc>
          <w:tcPr>
            <w:tcW w:w="4306" w:type="dxa"/>
            <w:tcBorders>
              <w:left w:val="single" w:sz="2" w:space="0" w:color="000000"/>
              <w:bottom w:val="single" w:sz="2" w:space="0" w:color="000000"/>
            </w:tcBorders>
            <w:vAlign w:val="center"/>
          </w:tcPr>
          <w:p>
            <w:pPr>
              <w:pStyle w:val="TableParagraph"/>
              <w:spacing w:lineRule="auto" w:line="276"/>
              <w:ind w:left="30" w:right="0"/>
              <w:rPr>
                <w:rFonts w:ascii="Verdana" w:hAnsi="Verdana"/>
                <w:sz w:val="20"/>
                <w:szCs w:val="20"/>
                <w:lang w:val="pt-BR" w:eastAsia="en-US" w:bidi="ar-SA"/>
              </w:rPr>
            </w:pPr>
            <w:r>
              <w:rPr>
                <w:rFonts w:ascii="Verdana" w:hAnsi="Verdana"/>
                <w:color w:val="000000"/>
                <w:spacing w:val="-2"/>
                <w:sz w:val="20"/>
                <w:szCs w:val="20"/>
                <w:lang w:val="pt-BR" w:eastAsia="en-US" w:bidi="ar-SA"/>
              </w:rPr>
              <w:t>Cadeira longarina com 5 lugares, confeccionada em polipropileno, estrutura tubular em aço pintado chapa 20, metalon 50x30, (cor preta).</w:t>
            </w:r>
          </w:p>
        </w:tc>
        <w:tc>
          <w:tcPr>
            <w:tcW w:w="724" w:type="dxa"/>
            <w:tcBorders>
              <w:left w:val="single" w:sz="2" w:space="0" w:color="000000"/>
              <w:bottom w:val="single" w:sz="2" w:space="0" w:color="000000"/>
            </w:tcBorders>
            <w:vAlign w:val="center"/>
          </w:tcPr>
          <w:p>
            <w:pPr>
              <w:pStyle w:val="TableParagraph"/>
              <w:spacing w:lineRule="auto" w:line="276"/>
              <w:jc w:val="center"/>
              <w:rPr>
                <w:rFonts w:ascii="Verdana" w:hAnsi="Verdana"/>
                <w:sz w:val="20"/>
                <w:szCs w:val="20"/>
              </w:rPr>
            </w:pPr>
            <w:r>
              <w:rPr>
                <w:rFonts w:ascii="Verdana" w:hAnsi="Verdana"/>
                <w:color w:val="000000"/>
                <w:spacing w:val="-5"/>
                <w:sz w:val="20"/>
                <w:szCs w:val="20"/>
              </w:rPr>
              <w:t>Und.</w:t>
            </w:r>
          </w:p>
        </w:tc>
        <w:tc>
          <w:tcPr>
            <w:tcW w:w="864" w:type="dxa"/>
            <w:tcBorders>
              <w:left w:val="single" w:sz="2" w:space="0" w:color="000000"/>
              <w:bottom w:val="single" w:sz="2" w:space="0" w:color="000000"/>
            </w:tcBorders>
            <w:vAlign w:val="center"/>
          </w:tcPr>
          <w:p>
            <w:pPr>
              <w:pStyle w:val="TableParagraph"/>
              <w:spacing w:lineRule="auto" w:line="276"/>
              <w:jc w:val="center"/>
              <w:rPr>
                <w:rFonts w:ascii="Verdana" w:hAnsi="Verdana"/>
                <w:sz w:val="20"/>
                <w:szCs w:val="20"/>
              </w:rPr>
            </w:pPr>
            <w:r>
              <w:rPr>
                <w:rFonts w:ascii="Verdana" w:hAnsi="Verdana"/>
                <w:color w:val="000000"/>
                <w:spacing w:val="-2"/>
                <w:sz w:val="20"/>
                <w:szCs w:val="20"/>
              </w:rPr>
              <w:t>02</w:t>
            </w:r>
          </w:p>
        </w:tc>
        <w:tc>
          <w:tcPr>
            <w:tcW w:w="1361" w:type="dxa"/>
            <w:tcBorders>
              <w:left w:val="single" w:sz="2" w:space="0" w:color="000000"/>
              <w:bottom w:val="single" w:sz="2" w:space="0" w:color="000000"/>
            </w:tcBorders>
            <w:vAlign w:val="center"/>
          </w:tcPr>
          <w:p>
            <w:pPr>
              <w:pStyle w:val="TableParagraph"/>
              <w:spacing w:lineRule="auto" w:line="276"/>
              <w:jc w:val="right"/>
              <w:rPr>
                <w:rFonts w:ascii="Verdana" w:hAnsi="Verdana"/>
                <w:sz w:val="20"/>
                <w:szCs w:val="20"/>
              </w:rPr>
            </w:pPr>
            <w:r>
              <w:rPr>
                <w:rFonts w:ascii="Verdana" w:hAnsi="Verdana"/>
                <w:color w:val="000000"/>
                <w:spacing w:val="-2"/>
                <w:sz w:val="20"/>
                <w:szCs w:val="20"/>
              </w:rPr>
              <w:t>R$ 705,65</w:t>
            </w:r>
          </w:p>
        </w:tc>
        <w:tc>
          <w:tcPr>
            <w:tcW w:w="1363" w:type="dxa"/>
            <w:tcBorders>
              <w:left w:val="single" w:sz="2" w:space="0" w:color="000000"/>
              <w:bottom w:val="single" w:sz="2" w:space="0" w:color="000000"/>
              <w:right w:val="single" w:sz="2" w:space="0" w:color="000000"/>
            </w:tcBorders>
            <w:vAlign w:val="center"/>
          </w:tcPr>
          <w:p>
            <w:pPr>
              <w:pStyle w:val="TableParagraph"/>
              <w:spacing w:lineRule="auto" w:line="276"/>
              <w:jc w:val="right"/>
              <w:rPr>
                <w:rFonts w:ascii="Verdana" w:hAnsi="Verdana"/>
                <w:sz w:val="20"/>
                <w:szCs w:val="20"/>
              </w:rPr>
            </w:pPr>
            <w:r>
              <w:rPr>
                <w:rFonts w:ascii="Verdana" w:hAnsi="Verdana"/>
                <w:color w:val="000000"/>
                <w:spacing w:val="-2"/>
                <w:sz w:val="20"/>
                <w:szCs w:val="20"/>
              </w:rPr>
              <w:t>R$ 1.411,30</w:t>
            </w:r>
          </w:p>
        </w:tc>
      </w:tr>
      <w:tr>
        <w:trPr>
          <w:trHeight w:val="1728" w:hRule="atLeast"/>
        </w:trPr>
        <w:tc>
          <w:tcPr>
            <w:tcW w:w="741" w:type="dxa"/>
            <w:tcBorders>
              <w:left w:val="single" w:sz="2" w:space="0" w:color="000000"/>
              <w:bottom w:val="single" w:sz="2" w:space="0" w:color="000000"/>
            </w:tcBorders>
            <w:vAlign w:val="center"/>
          </w:tcPr>
          <w:p>
            <w:pPr>
              <w:pStyle w:val="Contedodatabela"/>
              <w:widowControl w:val="false"/>
              <w:spacing w:lineRule="auto" w:line="276"/>
              <w:jc w:val="center"/>
              <w:rPr>
                <w:rFonts w:ascii="Verdana" w:hAnsi="Verdana"/>
                <w:sz w:val="20"/>
                <w:szCs w:val="20"/>
              </w:rPr>
            </w:pPr>
            <w:r>
              <w:rPr>
                <w:rFonts w:ascii="Verdana" w:hAnsi="Verdana"/>
                <w:color w:val="000000"/>
                <w:sz w:val="20"/>
                <w:szCs w:val="20"/>
              </w:rPr>
              <w:t>03</w:t>
            </w:r>
          </w:p>
        </w:tc>
        <w:tc>
          <w:tcPr>
            <w:tcW w:w="4306" w:type="dxa"/>
            <w:tcBorders>
              <w:left w:val="single" w:sz="2" w:space="0" w:color="000000"/>
              <w:bottom w:val="single" w:sz="2" w:space="0" w:color="000000"/>
            </w:tcBorders>
            <w:vAlign w:val="center"/>
          </w:tcPr>
          <w:p>
            <w:pPr>
              <w:pStyle w:val="TableParagraph"/>
              <w:spacing w:lineRule="auto" w:line="276"/>
              <w:ind w:left="30" w:right="0"/>
              <w:rPr>
                <w:rFonts w:ascii="Verdana" w:hAnsi="Verdana"/>
                <w:sz w:val="20"/>
                <w:szCs w:val="20"/>
                <w:lang w:val="pt-BR" w:eastAsia="en-US" w:bidi="ar-SA"/>
              </w:rPr>
            </w:pPr>
            <w:r>
              <w:rPr>
                <w:rFonts w:ascii="Verdana" w:hAnsi="Verdana"/>
                <w:color w:val="000000"/>
                <w:sz w:val="20"/>
                <w:szCs w:val="20"/>
                <w:lang w:val="pt-BR" w:eastAsia="en-US" w:bidi="ar-SA"/>
              </w:rPr>
              <w:t>Cortina em tecido blackout. Material: 100% poliéster; Cor: off-white; Características adicionais: blackout duplo; Aplicação: ambiente profissional com ilhós, 02 folhas; Medida: 2,60 x 1,70 cm. Acompanha varão e suporte</w:t>
            </w:r>
          </w:p>
        </w:tc>
        <w:tc>
          <w:tcPr>
            <w:tcW w:w="724" w:type="dxa"/>
            <w:tcBorders>
              <w:left w:val="single" w:sz="2" w:space="0" w:color="000000"/>
              <w:bottom w:val="single" w:sz="2" w:space="0" w:color="000000"/>
            </w:tcBorders>
            <w:vAlign w:val="center"/>
          </w:tcPr>
          <w:p>
            <w:pPr>
              <w:pStyle w:val="TableParagraph"/>
              <w:spacing w:lineRule="auto" w:line="276"/>
              <w:jc w:val="center"/>
              <w:rPr>
                <w:rFonts w:ascii="Verdana" w:hAnsi="Verdana"/>
                <w:sz w:val="20"/>
                <w:szCs w:val="20"/>
              </w:rPr>
            </w:pPr>
            <w:r>
              <w:rPr>
                <w:rFonts w:ascii="Verdana" w:hAnsi="Verdana"/>
                <w:color w:val="000000"/>
                <w:spacing w:val="-5"/>
                <w:sz w:val="20"/>
                <w:szCs w:val="20"/>
              </w:rPr>
              <w:t>Und.</w:t>
            </w:r>
          </w:p>
        </w:tc>
        <w:tc>
          <w:tcPr>
            <w:tcW w:w="864" w:type="dxa"/>
            <w:tcBorders>
              <w:left w:val="single" w:sz="2" w:space="0" w:color="000000"/>
              <w:bottom w:val="single" w:sz="2" w:space="0" w:color="000000"/>
            </w:tcBorders>
            <w:vAlign w:val="center"/>
          </w:tcPr>
          <w:p>
            <w:pPr>
              <w:pStyle w:val="TableParagraph"/>
              <w:spacing w:lineRule="auto" w:line="276"/>
              <w:jc w:val="center"/>
              <w:rPr>
                <w:rFonts w:ascii="Verdana" w:hAnsi="Verdana"/>
                <w:sz w:val="20"/>
                <w:szCs w:val="20"/>
              </w:rPr>
            </w:pPr>
            <w:r>
              <w:rPr>
                <w:rFonts w:ascii="Verdana" w:hAnsi="Verdana"/>
                <w:color w:val="000000"/>
                <w:spacing w:val="-2"/>
                <w:sz w:val="20"/>
                <w:szCs w:val="20"/>
              </w:rPr>
              <w:t>15</w:t>
            </w:r>
          </w:p>
        </w:tc>
        <w:tc>
          <w:tcPr>
            <w:tcW w:w="1361" w:type="dxa"/>
            <w:tcBorders>
              <w:left w:val="single" w:sz="2" w:space="0" w:color="000000"/>
              <w:bottom w:val="single" w:sz="2" w:space="0" w:color="000000"/>
            </w:tcBorders>
            <w:vAlign w:val="center"/>
          </w:tcPr>
          <w:p>
            <w:pPr>
              <w:pStyle w:val="TableParagraph"/>
              <w:spacing w:lineRule="auto" w:line="276"/>
              <w:jc w:val="right"/>
              <w:rPr>
                <w:rFonts w:ascii="Verdana" w:hAnsi="Verdana"/>
                <w:sz w:val="20"/>
                <w:szCs w:val="20"/>
              </w:rPr>
            </w:pPr>
            <w:r>
              <w:rPr>
                <w:rFonts w:ascii="Verdana" w:hAnsi="Verdana"/>
                <w:color w:val="000000"/>
                <w:spacing w:val="-2"/>
                <w:sz w:val="20"/>
                <w:szCs w:val="20"/>
              </w:rPr>
              <w:t>R$ 158,29</w:t>
            </w:r>
          </w:p>
        </w:tc>
        <w:tc>
          <w:tcPr>
            <w:tcW w:w="1363" w:type="dxa"/>
            <w:tcBorders>
              <w:left w:val="single" w:sz="2" w:space="0" w:color="000000"/>
              <w:bottom w:val="single" w:sz="2" w:space="0" w:color="000000"/>
              <w:right w:val="single" w:sz="2" w:space="0" w:color="000000"/>
            </w:tcBorders>
            <w:vAlign w:val="center"/>
          </w:tcPr>
          <w:p>
            <w:pPr>
              <w:pStyle w:val="TableParagraph"/>
              <w:spacing w:lineRule="auto" w:line="276"/>
              <w:jc w:val="right"/>
              <w:rPr>
                <w:rFonts w:ascii="Verdana" w:hAnsi="Verdana"/>
                <w:sz w:val="20"/>
                <w:szCs w:val="20"/>
              </w:rPr>
            </w:pPr>
            <w:r>
              <w:rPr>
                <w:rFonts w:ascii="Verdana" w:hAnsi="Verdana"/>
                <w:color w:val="000000"/>
                <w:spacing w:val="-2"/>
                <w:sz w:val="20"/>
                <w:szCs w:val="20"/>
              </w:rPr>
              <w:t>R$ 2.374,35</w:t>
            </w:r>
          </w:p>
        </w:tc>
      </w:tr>
      <w:tr>
        <w:trPr>
          <w:trHeight w:val="1809" w:hRule="atLeast"/>
        </w:trPr>
        <w:tc>
          <w:tcPr>
            <w:tcW w:w="741" w:type="dxa"/>
            <w:tcBorders>
              <w:left w:val="single" w:sz="2" w:space="0" w:color="000000"/>
              <w:bottom w:val="single" w:sz="2" w:space="0" w:color="000000"/>
            </w:tcBorders>
            <w:vAlign w:val="center"/>
          </w:tcPr>
          <w:p>
            <w:pPr>
              <w:pStyle w:val="Contedodatabela"/>
              <w:widowControl w:val="false"/>
              <w:spacing w:lineRule="auto" w:line="276"/>
              <w:jc w:val="center"/>
              <w:rPr>
                <w:rFonts w:ascii="Verdana" w:hAnsi="Verdana"/>
                <w:sz w:val="20"/>
                <w:szCs w:val="20"/>
              </w:rPr>
            </w:pPr>
            <w:r>
              <w:rPr>
                <w:rFonts w:ascii="Verdana" w:hAnsi="Verdana"/>
                <w:color w:val="000000"/>
                <w:sz w:val="20"/>
                <w:szCs w:val="20"/>
              </w:rPr>
              <w:t>04</w:t>
            </w:r>
          </w:p>
        </w:tc>
        <w:tc>
          <w:tcPr>
            <w:tcW w:w="4306" w:type="dxa"/>
            <w:tcBorders>
              <w:left w:val="single" w:sz="2" w:space="0" w:color="000000"/>
              <w:bottom w:val="single" w:sz="2" w:space="0" w:color="000000"/>
            </w:tcBorders>
            <w:vAlign w:val="center"/>
          </w:tcPr>
          <w:p>
            <w:pPr>
              <w:pStyle w:val="TableParagraph"/>
              <w:spacing w:lineRule="auto" w:line="276"/>
              <w:ind w:left="30" w:right="0"/>
              <w:rPr>
                <w:rFonts w:ascii="Verdana" w:hAnsi="Verdana"/>
                <w:sz w:val="20"/>
                <w:szCs w:val="20"/>
              </w:rPr>
            </w:pPr>
            <w:r>
              <w:rPr>
                <w:rFonts w:ascii="Verdana" w:hAnsi="Verdana"/>
                <w:color w:val="000000"/>
                <w:spacing w:val="-2"/>
                <w:sz w:val="20"/>
                <w:szCs w:val="20"/>
              </w:rPr>
              <w:t>Relógio, material: alumínio escovado tipo: parede; Funcionamento: pilhas; Características  adicionais: RO em alumínio escovado fundo preto; Diâmetro: 27 cm; Cor: prata; Cor visor: acrílico transparente incolor; Tipo vidro: acrílico</w:t>
            </w:r>
          </w:p>
        </w:tc>
        <w:tc>
          <w:tcPr>
            <w:tcW w:w="724" w:type="dxa"/>
            <w:tcBorders>
              <w:left w:val="single" w:sz="2" w:space="0" w:color="000000"/>
              <w:bottom w:val="single" w:sz="2" w:space="0" w:color="000000"/>
            </w:tcBorders>
            <w:vAlign w:val="center"/>
          </w:tcPr>
          <w:p>
            <w:pPr>
              <w:pStyle w:val="TableParagraph"/>
              <w:spacing w:lineRule="auto" w:line="276"/>
              <w:jc w:val="center"/>
              <w:rPr>
                <w:rFonts w:ascii="Verdana" w:hAnsi="Verdana"/>
                <w:sz w:val="20"/>
                <w:szCs w:val="20"/>
              </w:rPr>
            </w:pPr>
            <w:r>
              <w:rPr>
                <w:rFonts w:ascii="Verdana" w:hAnsi="Verdana"/>
                <w:color w:val="000000"/>
                <w:spacing w:val="-5"/>
                <w:sz w:val="20"/>
                <w:szCs w:val="20"/>
              </w:rPr>
              <w:t>Und.</w:t>
            </w:r>
          </w:p>
        </w:tc>
        <w:tc>
          <w:tcPr>
            <w:tcW w:w="864" w:type="dxa"/>
            <w:tcBorders>
              <w:left w:val="single" w:sz="2" w:space="0" w:color="000000"/>
              <w:bottom w:val="single" w:sz="2" w:space="0" w:color="000000"/>
            </w:tcBorders>
            <w:vAlign w:val="center"/>
          </w:tcPr>
          <w:p>
            <w:pPr>
              <w:pStyle w:val="TableParagraph"/>
              <w:spacing w:lineRule="auto" w:line="276" w:before="131" w:after="0"/>
              <w:jc w:val="center"/>
              <w:rPr>
                <w:rFonts w:ascii="Verdana" w:hAnsi="Verdana"/>
                <w:sz w:val="20"/>
                <w:szCs w:val="20"/>
              </w:rPr>
            </w:pPr>
            <w:r>
              <w:rPr>
                <w:rFonts w:ascii="Verdana" w:hAnsi="Verdana"/>
                <w:color w:val="000000"/>
                <w:spacing w:val="-2"/>
                <w:sz w:val="20"/>
                <w:szCs w:val="20"/>
              </w:rPr>
              <w:t>03</w:t>
            </w:r>
          </w:p>
        </w:tc>
        <w:tc>
          <w:tcPr>
            <w:tcW w:w="1361" w:type="dxa"/>
            <w:tcBorders>
              <w:left w:val="single" w:sz="2" w:space="0" w:color="000000"/>
              <w:bottom w:val="single" w:sz="2" w:space="0" w:color="000000"/>
            </w:tcBorders>
            <w:vAlign w:val="center"/>
          </w:tcPr>
          <w:p>
            <w:pPr>
              <w:pStyle w:val="TableParagraph"/>
              <w:spacing w:lineRule="auto" w:line="276"/>
              <w:jc w:val="right"/>
              <w:rPr>
                <w:rFonts w:ascii="Verdana" w:hAnsi="Verdana"/>
                <w:sz w:val="20"/>
                <w:szCs w:val="20"/>
              </w:rPr>
            </w:pPr>
            <w:r>
              <w:rPr>
                <w:rFonts w:ascii="Verdana" w:hAnsi="Verdana"/>
                <w:color w:val="000000"/>
                <w:spacing w:val="-2"/>
                <w:sz w:val="20"/>
                <w:szCs w:val="20"/>
              </w:rPr>
              <w:t>R$ 68,23</w:t>
            </w:r>
          </w:p>
        </w:tc>
        <w:tc>
          <w:tcPr>
            <w:tcW w:w="1363" w:type="dxa"/>
            <w:tcBorders>
              <w:left w:val="single" w:sz="2" w:space="0" w:color="000000"/>
              <w:bottom w:val="single" w:sz="2" w:space="0" w:color="000000"/>
              <w:right w:val="single" w:sz="2" w:space="0" w:color="000000"/>
            </w:tcBorders>
            <w:vAlign w:val="center"/>
          </w:tcPr>
          <w:p>
            <w:pPr>
              <w:pStyle w:val="TableParagraph"/>
              <w:spacing w:lineRule="auto" w:line="276"/>
              <w:jc w:val="right"/>
              <w:rPr>
                <w:rFonts w:ascii="Verdana" w:hAnsi="Verdana"/>
                <w:sz w:val="20"/>
                <w:szCs w:val="20"/>
              </w:rPr>
            </w:pPr>
            <w:r>
              <w:rPr>
                <w:rFonts w:ascii="Verdana" w:hAnsi="Verdana"/>
                <w:color w:val="000000"/>
                <w:spacing w:val="-2"/>
                <w:sz w:val="20"/>
                <w:szCs w:val="20"/>
              </w:rPr>
              <w:t>R$ 204,69</w:t>
            </w:r>
          </w:p>
        </w:tc>
      </w:tr>
      <w:tr>
        <w:trPr>
          <w:trHeight w:val="1465" w:hRule="atLeast"/>
        </w:trPr>
        <w:tc>
          <w:tcPr>
            <w:tcW w:w="741" w:type="dxa"/>
            <w:tcBorders>
              <w:left w:val="single" w:sz="2" w:space="0" w:color="000000"/>
              <w:bottom w:val="single" w:sz="2" w:space="0" w:color="000000"/>
            </w:tcBorders>
            <w:vAlign w:val="center"/>
          </w:tcPr>
          <w:p>
            <w:pPr>
              <w:pStyle w:val="Contedodatabela"/>
              <w:widowControl w:val="false"/>
              <w:spacing w:lineRule="auto" w:line="276"/>
              <w:jc w:val="center"/>
              <w:rPr>
                <w:rFonts w:ascii="Verdana" w:hAnsi="Verdana"/>
                <w:sz w:val="20"/>
                <w:szCs w:val="20"/>
              </w:rPr>
            </w:pPr>
            <w:r>
              <w:rPr>
                <w:rFonts w:ascii="Verdana" w:hAnsi="Verdana"/>
                <w:color w:val="000000"/>
                <w:sz w:val="20"/>
                <w:szCs w:val="20"/>
              </w:rPr>
              <w:t>05</w:t>
            </w:r>
          </w:p>
        </w:tc>
        <w:tc>
          <w:tcPr>
            <w:tcW w:w="4306" w:type="dxa"/>
            <w:tcBorders>
              <w:left w:val="single" w:sz="2" w:space="0" w:color="000000"/>
              <w:bottom w:val="single" w:sz="2" w:space="0" w:color="000000"/>
            </w:tcBorders>
            <w:vAlign w:val="center"/>
          </w:tcPr>
          <w:p>
            <w:pPr>
              <w:pStyle w:val="TableParagraph"/>
              <w:spacing w:lineRule="auto" w:line="276"/>
              <w:ind w:left="30" w:right="0"/>
              <w:rPr>
                <w:rFonts w:ascii="Verdana" w:hAnsi="Verdana"/>
                <w:sz w:val="20"/>
                <w:szCs w:val="20"/>
                <w:lang w:val="pt-BR" w:eastAsia="en-US" w:bidi="ar-SA"/>
              </w:rPr>
            </w:pPr>
            <w:r>
              <w:rPr>
                <w:rFonts w:ascii="Verdana" w:hAnsi="Verdana"/>
                <w:color w:val="000000"/>
                <w:spacing w:val="-2"/>
                <w:sz w:val="20"/>
                <w:szCs w:val="20"/>
                <w:lang w:val="pt-BR" w:eastAsia="en-US" w:bidi="ar-SA"/>
              </w:rPr>
              <w:t>Tabela de basquete completa. Com aro, rede e 01 Bola, com 03 regulagens de altura. Desmontável. Em plástico rotomoldado. Medidas aproximadas pxlxa: 0,59m x 0,72m x variável de 1,64 a 2,25m.</w:t>
            </w:r>
          </w:p>
        </w:tc>
        <w:tc>
          <w:tcPr>
            <w:tcW w:w="724" w:type="dxa"/>
            <w:tcBorders>
              <w:left w:val="single" w:sz="2" w:space="0" w:color="000000"/>
              <w:bottom w:val="single" w:sz="2" w:space="0" w:color="000000"/>
            </w:tcBorders>
            <w:vAlign w:val="center"/>
          </w:tcPr>
          <w:p>
            <w:pPr>
              <w:pStyle w:val="TableParagraph"/>
              <w:spacing w:lineRule="auto" w:line="276"/>
              <w:jc w:val="center"/>
              <w:rPr>
                <w:rFonts w:ascii="Verdana" w:hAnsi="Verdana"/>
                <w:sz w:val="20"/>
                <w:szCs w:val="20"/>
              </w:rPr>
            </w:pPr>
            <w:r>
              <w:rPr>
                <w:rFonts w:ascii="Verdana" w:hAnsi="Verdana"/>
                <w:color w:val="000000"/>
                <w:spacing w:val="-5"/>
                <w:sz w:val="20"/>
                <w:szCs w:val="20"/>
              </w:rPr>
              <w:t>Und.</w:t>
            </w:r>
          </w:p>
        </w:tc>
        <w:tc>
          <w:tcPr>
            <w:tcW w:w="864" w:type="dxa"/>
            <w:tcBorders>
              <w:left w:val="single" w:sz="2" w:space="0" w:color="000000"/>
              <w:bottom w:val="single" w:sz="2" w:space="0" w:color="000000"/>
            </w:tcBorders>
            <w:vAlign w:val="center"/>
          </w:tcPr>
          <w:p>
            <w:pPr>
              <w:pStyle w:val="TableParagraph"/>
              <w:spacing w:lineRule="auto" w:line="276" w:before="1" w:after="0"/>
              <w:ind w:left="60" w:right="0"/>
              <w:jc w:val="center"/>
              <w:rPr>
                <w:rFonts w:ascii="Verdana" w:hAnsi="Verdana"/>
                <w:sz w:val="20"/>
                <w:szCs w:val="20"/>
              </w:rPr>
            </w:pPr>
            <w:r>
              <w:rPr>
                <w:rFonts w:ascii="Verdana" w:hAnsi="Verdana"/>
                <w:color w:val="000000"/>
                <w:spacing w:val="-2"/>
                <w:sz w:val="20"/>
                <w:szCs w:val="20"/>
              </w:rPr>
              <w:t>02</w:t>
            </w:r>
          </w:p>
        </w:tc>
        <w:tc>
          <w:tcPr>
            <w:tcW w:w="1361" w:type="dxa"/>
            <w:tcBorders>
              <w:left w:val="single" w:sz="2" w:space="0" w:color="000000"/>
              <w:bottom w:val="single" w:sz="2" w:space="0" w:color="000000"/>
            </w:tcBorders>
            <w:vAlign w:val="center"/>
          </w:tcPr>
          <w:p>
            <w:pPr>
              <w:pStyle w:val="TableParagraph"/>
              <w:spacing w:lineRule="auto" w:line="276"/>
              <w:jc w:val="right"/>
              <w:rPr>
                <w:rFonts w:ascii="Verdana" w:hAnsi="Verdana"/>
                <w:sz w:val="20"/>
                <w:szCs w:val="20"/>
              </w:rPr>
            </w:pPr>
            <w:r>
              <w:rPr>
                <w:rFonts w:ascii="Verdana" w:hAnsi="Verdana"/>
                <w:color w:val="000000"/>
                <w:spacing w:val="-2"/>
                <w:sz w:val="20"/>
                <w:szCs w:val="20"/>
              </w:rPr>
              <w:t>R$ 263,94</w:t>
            </w:r>
          </w:p>
        </w:tc>
        <w:tc>
          <w:tcPr>
            <w:tcW w:w="1363" w:type="dxa"/>
            <w:tcBorders>
              <w:left w:val="single" w:sz="2" w:space="0" w:color="000000"/>
              <w:bottom w:val="single" w:sz="2" w:space="0" w:color="000000"/>
              <w:right w:val="single" w:sz="2" w:space="0" w:color="000000"/>
            </w:tcBorders>
            <w:vAlign w:val="center"/>
          </w:tcPr>
          <w:p>
            <w:pPr>
              <w:pStyle w:val="TableParagraph"/>
              <w:spacing w:lineRule="auto" w:line="276"/>
              <w:jc w:val="right"/>
              <w:rPr>
                <w:rFonts w:ascii="Verdana" w:hAnsi="Verdana"/>
                <w:sz w:val="20"/>
                <w:szCs w:val="20"/>
              </w:rPr>
            </w:pPr>
            <w:r>
              <w:rPr>
                <w:rFonts w:ascii="Verdana" w:hAnsi="Verdana"/>
                <w:color w:val="000000"/>
                <w:spacing w:val="-2"/>
                <w:sz w:val="20"/>
                <w:szCs w:val="20"/>
              </w:rPr>
              <w:t>R$ 527,88</w:t>
            </w:r>
          </w:p>
        </w:tc>
      </w:tr>
      <w:tr>
        <w:trPr>
          <w:trHeight w:val="1641" w:hRule="atLeast"/>
        </w:trPr>
        <w:tc>
          <w:tcPr>
            <w:tcW w:w="741" w:type="dxa"/>
            <w:tcBorders>
              <w:left w:val="single" w:sz="2" w:space="0" w:color="000000"/>
              <w:bottom w:val="single" w:sz="2" w:space="0" w:color="000000"/>
            </w:tcBorders>
            <w:vAlign w:val="center"/>
          </w:tcPr>
          <w:p>
            <w:pPr>
              <w:pStyle w:val="Contedodatabela"/>
              <w:widowControl w:val="false"/>
              <w:spacing w:lineRule="auto" w:line="276"/>
              <w:jc w:val="center"/>
              <w:rPr>
                <w:rFonts w:ascii="Verdana" w:hAnsi="Verdana"/>
                <w:sz w:val="20"/>
                <w:szCs w:val="20"/>
              </w:rPr>
            </w:pPr>
            <w:r>
              <w:rPr>
                <w:rFonts w:ascii="Verdana" w:hAnsi="Verdana"/>
                <w:color w:val="000000"/>
                <w:sz w:val="20"/>
                <w:szCs w:val="20"/>
              </w:rPr>
              <w:t>06</w:t>
            </w:r>
          </w:p>
        </w:tc>
        <w:tc>
          <w:tcPr>
            <w:tcW w:w="4306" w:type="dxa"/>
            <w:tcBorders>
              <w:left w:val="single" w:sz="2" w:space="0" w:color="000000"/>
              <w:bottom w:val="single" w:sz="2" w:space="0" w:color="000000"/>
            </w:tcBorders>
            <w:vAlign w:val="center"/>
          </w:tcPr>
          <w:p>
            <w:pPr>
              <w:pStyle w:val="TableParagraph"/>
              <w:spacing w:lineRule="auto" w:line="276"/>
              <w:ind w:left="30" w:right="0"/>
              <w:rPr>
                <w:rFonts w:ascii="Verdana" w:hAnsi="Verdana"/>
                <w:sz w:val="20"/>
                <w:szCs w:val="20"/>
                <w:lang w:val="pt-BR" w:eastAsia="en-US" w:bidi="ar-SA"/>
              </w:rPr>
            </w:pPr>
            <w:r>
              <w:rPr>
                <w:rFonts w:ascii="Verdana" w:hAnsi="Verdana"/>
                <w:color w:val="000000"/>
                <w:spacing w:val="-2"/>
                <w:sz w:val="20"/>
                <w:szCs w:val="20"/>
                <w:lang w:val="pt-BR" w:eastAsia="en-US" w:bidi="ar-SA"/>
              </w:rPr>
              <w:t>Tenda sanfonada medindo 3,0 x 3,0 metros, Cobertura em poliéster impermeável na cor azul-marinho e com retardante de chama e tratamento UV; pernas de perfilados telescópicos quadrados Medindo 30 x 30 mm; conectores e base em nylon; Pinos de travamento das pernas e das Cantoneiras com puxadores exclusivos uick lock; Com estacas e cordas para amarração e Acompanhamento capa-bolsa para guardar e Transportar.</w:t>
            </w:r>
          </w:p>
        </w:tc>
        <w:tc>
          <w:tcPr>
            <w:tcW w:w="724" w:type="dxa"/>
            <w:tcBorders>
              <w:left w:val="single" w:sz="2" w:space="0" w:color="000000"/>
              <w:bottom w:val="single" w:sz="2" w:space="0" w:color="000000"/>
            </w:tcBorders>
            <w:vAlign w:val="center"/>
          </w:tcPr>
          <w:p>
            <w:pPr>
              <w:pStyle w:val="TableParagraph"/>
              <w:spacing w:lineRule="auto" w:line="276"/>
              <w:jc w:val="center"/>
              <w:rPr>
                <w:rFonts w:ascii="Verdana" w:hAnsi="Verdana"/>
                <w:sz w:val="20"/>
                <w:szCs w:val="20"/>
              </w:rPr>
            </w:pPr>
            <w:r>
              <w:rPr>
                <w:rFonts w:ascii="Verdana" w:hAnsi="Verdana"/>
                <w:color w:val="000000"/>
                <w:spacing w:val="-5"/>
                <w:sz w:val="20"/>
                <w:szCs w:val="20"/>
              </w:rPr>
              <w:t>Und.</w:t>
            </w:r>
          </w:p>
        </w:tc>
        <w:tc>
          <w:tcPr>
            <w:tcW w:w="864" w:type="dxa"/>
            <w:tcBorders>
              <w:left w:val="single" w:sz="2" w:space="0" w:color="000000"/>
              <w:bottom w:val="single" w:sz="2" w:space="0" w:color="000000"/>
            </w:tcBorders>
            <w:vAlign w:val="center"/>
          </w:tcPr>
          <w:p>
            <w:pPr>
              <w:pStyle w:val="TableParagraph"/>
              <w:spacing w:lineRule="auto" w:line="276" w:before="129" w:after="0"/>
              <w:jc w:val="center"/>
              <w:rPr>
                <w:rFonts w:ascii="Verdana" w:hAnsi="Verdana"/>
                <w:sz w:val="20"/>
                <w:szCs w:val="20"/>
              </w:rPr>
            </w:pPr>
            <w:r>
              <w:rPr>
                <w:rFonts w:ascii="Verdana" w:hAnsi="Verdana"/>
                <w:color w:val="000000"/>
                <w:spacing w:val="-2"/>
                <w:sz w:val="20"/>
                <w:szCs w:val="20"/>
              </w:rPr>
              <w:t>02</w:t>
            </w:r>
          </w:p>
        </w:tc>
        <w:tc>
          <w:tcPr>
            <w:tcW w:w="1361" w:type="dxa"/>
            <w:tcBorders>
              <w:left w:val="single" w:sz="2" w:space="0" w:color="000000"/>
              <w:bottom w:val="single" w:sz="2" w:space="0" w:color="000000"/>
            </w:tcBorders>
            <w:vAlign w:val="center"/>
          </w:tcPr>
          <w:p>
            <w:pPr>
              <w:pStyle w:val="TableParagraph"/>
              <w:spacing w:lineRule="auto" w:line="276"/>
              <w:jc w:val="right"/>
              <w:rPr>
                <w:rFonts w:ascii="Verdana" w:hAnsi="Verdana"/>
                <w:sz w:val="20"/>
                <w:szCs w:val="20"/>
              </w:rPr>
            </w:pPr>
            <w:r>
              <w:rPr>
                <w:rFonts w:ascii="Verdana" w:hAnsi="Verdana"/>
                <w:color w:val="000000"/>
                <w:spacing w:val="-2"/>
                <w:sz w:val="20"/>
                <w:szCs w:val="20"/>
              </w:rPr>
              <w:t>R$ 1.376,33</w:t>
            </w:r>
          </w:p>
        </w:tc>
        <w:tc>
          <w:tcPr>
            <w:tcW w:w="1363" w:type="dxa"/>
            <w:tcBorders>
              <w:left w:val="single" w:sz="2" w:space="0" w:color="000000"/>
              <w:bottom w:val="single" w:sz="2" w:space="0" w:color="000000"/>
              <w:right w:val="single" w:sz="2" w:space="0" w:color="000000"/>
            </w:tcBorders>
            <w:vAlign w:val="center"/>
          </w:tcPr>
          <w:p>
            <w:pPr>
              <w:pStyle w:val="TableParagraph"/>
              <w:spacing w:lineRule="auto" w:line="276"/>
              <w:jc w:val="right"/>
              <w:rPr>
                <w:rFonts w:ascii="Verdana" w:hAnsi="Verdana"/>
                <w:sz w:val="20"/>
                <w:szCs w:val="20"/>
              </w:rPr>
            </w:pPr>
            <w:r>
              <w:rPr>
                <w:rFonts w:ascii="Verdana" w:hAnsi="Verdana"/>
                <w:color w:val="000000"/>
                <w:spacing w:val="-2"/>
                <w:sz w:val="20"/>
                <w:szCs w:val="20"/>
              </w:rPr>
              <w:t>R$ 2.752,66</w:t>
            </w:r>
          </w:p>
        </w:tc>
      </w:tr>
      <w:tr>
        <w:trPr>
          <w:trHeight w:val="818" w:hRule="atLeast"/>
        </w:trPr>
        <w:tc>
          <w:tcPr>
            <w:tcW w:w="9359" w:type="dxa"/>
            <w:gridSpan w:val="6"/>
            <w:tcBorders>
              <w:left w:val="single" w:sz="2" w:space="0" w:color="000000"/>
              <w:bottom w:val="single" w:sz="2" w:space="0" w:color="000000"/>
              <w:right w:val="single" w:sz="2" w:space="0" w:color="000000"/>
            </w:tcBorders>
            <w:vAlign w:val="center"/>
          </w:tcPr>
          <w:p>
            <w:pPr>
              <w:pStyle w:val="Contedodatabela"/>
              <w:widowControl w:val="false"/>
              <w:spacing w:lineRule="auto" w:line="276"/>
              <w:jc w:val="both"/>
              <w:rPr>
                <w:rFonts w:ascii="Verdana" w:hAnsi="Verdana"/>
                <w:sz w:val="20"/>
                <w:szCs w:val="20"/>
              </w:rPr>
            </w:pPr>
            <w:r>
              <w:rPr>
                <w:rFonts w:ascii="Verdana" w:hAnsi="Verdana"/>
                <w:b/>
                <w:bCs/>
                <w:sz w:val="20"/>
                <w:szCs w:val="20"/>
              </w:rPr>
              <w:t>VALOR ESTIMADO TOTAL:</w:t>
            </w:r>
            <w:r>
              <w:rPr>
                <w:rFonts w:ascii="Verdana" w:hAnsi="Verdana"/>
                <w:sz w:val="20"/>
                <w:szCs w:val="20"/>
              </w:rPr>
              <w:t xml:space="preserve"> R$ 7.440,75 </w:t>
            </w:r>
            <w:r>
              <w:rPr>
                <w:rFonts w:eastAsia="Times New Roman" w:cs="Arial" w:ascii="Verdana" w:hAnsi="Verdana"/>
                <w:b w:val="false"/>
                <w:bCs w:val="false"/>
                <w:color w:val="000000"/>
                <w:sz w:val="20"/>
                <w:szCs w:val="20"/>
                <w:u w:val="none"/>
                <w:lang w:eastAsia="zh-CN"/>
              </w:rPr>
              <w:t>(sete mil quatrocentos e quarenta reais e setenta e cinco centavos).</w:t>
            </w:r>
          </w:p>
        </w:tc>
      </w:tr>
    </w:tbl>
    <w:p>
      <w:pPr>
        <w:pStyle w:val="Normal"/>
        <w:suppressAutoHyphens w:val="false"/>
        <w:spacing w:lineRule="auto" w:line="360" w:before="113" w:after="113"/>
        <w:ind w:hanging="0" w:left="0" w:right="0"/>
        <w:jc w:val="both"/>
        <w:rPr/>
      </w:pPr>
      <w:r>
        <w:rPr>
          <w:rFonts w:ascii="Verdana" w:hAnsi="Verdana"/>
          <w:b w:val="false"/>
          <w:bCs w:val="false"/>
          <w:iCs/>
          <w:sz w:val="20"/>
          <w:szCs w:val="20"/>
          <w:shd w:fill="auto" w:val="clear"/>
        </w:rPr>
        <w:t>1.2. Os produtos propostos deverão, obrigatoriamente, atender as exigências de qualidade, observados os padrões e normas baixadas pelos órgãos competentes de controle e fiscalização de qualidade.</w:t>
      </w:r>
      <w:bookmarkStart w:id="0" w:name="page66R_mcid0"/>
    </w:p>
    <w:p>
      <w:pPr>
        <w:pStyle w:val="ListParagraph"/>
        <w:suppressAutoHyphens w:val="false"/>
        <w:spacing w:lineRule="auto" w:line="360" w:before="113" w:after="113"/>
        <w:ind w:hanging="0" w:left="0" w:right="0"/>
        <w:contextualSpacing w:val="false"/>
        <w:jc w:val="both"/>
        <w:rPr/>
      </w:pPr>
      <w:r>
        <w:rPr>
          <w:rFonts w:ascii="Verdana" w:hAnsi="Verdana"/>
          <w:b w:val="false"/>
          <w:bCs w:val="false"/>
          <w:iCs/>
          <w:sz w:val="20"/>
          <w:szCs w:val="20"/>
        </w:rPr>
        <w:t xml:space="preserve">1.3. </w:t>
      </w:r>
      <w:r>
        <w:rPr>
          <w:rFonts w:cs="Arial" w:ascii="Verdana" w:hAnsi="Verdana"/>
          <w:b w:val="false"/>
          <w:bCs w:val="false"/>
          <w:iCs/>
          <w:color w:val="000000"/>
          <w:sz w:val="20"/>
          <w:szCs w:val="20"/>
        </w:rPr>
        <w:t>O prazo de vigência da contratação será de 30 (trinta) dias</w:t>
      </w:r>
      <w:r>
        <w:rPr>
          <w:rFonts w:cs="Arial" w:ascii="Verdana" w:hAnsi="Verdana"/>
          <w:b w:val="false"/>
          <w:bCs w:val="false"/>
          <w:iCs/>
          <w:color w:val="FF0000"/>
          <w:sz w:val="20"/>
          <w:szCs w:val="20"/>
        </w:rPr>
        <w:t xml:space="preserve"> </w:t>
      </w:r>
      <w:r>
        <w:rPr>
          <w:rFonts w:cs="Arial" w:ascii="Verdana" w:hAnsi="Verdana"/>
          <w:b w:val="false"/>
          <w:bCs w:val="false"/>
          <w:iCs/>
          <w:color w:val="000000"/>
          <w:sz w:val="20"/>
          <w:szCs w:val="20"/>
        </w:rPr>
        <w:t>com entrega em até 10 (dez) dias após a confirmação do recebimento da autorização de compras emitida pelo Departamento de Compras e Contratos.</w:t>
      </w:r>
    </w:p>
    <w:p>
      <w:pPr>
        <w:pStyle w:val="Normal"/>
        <w:widowControl/>
        <w:suppressAutoHyphens w:val="true"/>
        <w:overflowPunct w:val="true"/>
        <w:bidi w:val="0"/>
        <w:spacing w:lineRule="auto" w:line="360" w:before="113" w:after="113"/>
        <w:ind w:hanging="0" w:left="0" w:right="0"/>
        <w:jc w:val="both"/>
        <w:rPr/>
      </w:pPr>
      <w:r>
        <w:rPr>
          <w:rFonts w:cs="Arial" w:ascii="Verdana" w:hAnsi="Verdana"/>
          <w:b w:val="false"/>
          <w:bCs w:val="false"/>
          <w:sz w:val="20"/>
          <w:szCs w:val="20"/>
        </w:rPr>
        <w:t xml:space="preserve">1.4. O objeto da contratação será composto por </w:t>
      </w:r>
      <w:r>
        <w:rPr>
          <w:rFonts w:eastAsia="Times New Roman" w:cs="Arial" w:ascii="Verdana" w:hAnsi="Verdana"/>
          <w:b w:val="false"/>
          <w:bCs w:val="false"/>
          <w:color w:val="auto"/>
          <w:kern w:val="0"/>
          <w:sz w:val="20"/>
          <w:szCs w:val="20"/>
          <w:lang w:val="pt-BR" w:eastAsia="zh-CN" w:bidi="ar-SA"/>
        </w:rPr>
        <w:t>vários itens de diferentes descrições que deverão</w:t>
      </w:r>
      <w:r>
        <w:rPr>
          <w:rFonts w:cs="Arial" w:ascii="Verdana" w:hAnsi="Verdana"/>
          <w:b w:val="false"/>
          <w:bCs w:val="false"/>
          <w:sz w:val="20"/>
          <w:szCs w:val="20"/>
        </w:rPr>
        <w:t xml:space="preserve"> ser entregues de acordo com a autorização de fornecimento.</w:t>
      </w:r>
    </w:p>
    <w:p>
      <w:pPr>
        <w:pStyle w:val="Normal"/>
        <w:suppressAutoHyphens w:val="false"/>
        <w:spacing w:lineRule="auto" w:line="360" w:before="113" w:after="113"/>
        <w:ind w:hanging="0" w:left="0" w:right="0"/>
        <w:jc w:val="both"/>
        <w:rPr/>
      </w:pPr>
      <w:r>
        <w:rPr>
          <w:rFonts w:cs="Arial" w:ascii="Verdana" w:hAnsi="Verdana"/>
          <w:b w:val="false"/>
          <w:bCs w:val="false"/>
          <w:iCs/>
          <w:color w:val="000000"/>
          <w:sz w:val="20"/>
          <w:szCs w:val="20"/>
        </w:rPr>
        <w:t>1.5. Para fins de classificação de fornecedores, será considerado o menor preço por item (conforme descrito no ETP elaborado pela requerente)</w:t>
      </w:r>
      <w:r>
        <w:rPr>
          <w:rFonts w:eastAsia="Times New Roman" w:cs="Arial" w:ascii="Verdana" w:hAnsi="Verdana"/>
          <w:b w:val="false"/>
          <w:bCs w:val="false"/>
          <w:iCs/>
          <w:color w:val="auto"/>
          <w:kern w:val="0"/>
          <w:sz w:val="20"/>
          <w:szCs w:val="20"/>
          <w:lang w:val="pt-BR" w:eastAsia="zh-CN" w:bidi="ar-SA"/>
        </w:rPr>
        <w:t>, no procedimento de licitação</w:t>
      </w:r>
      <w:r>
        <w:rPr>
          <w:rFonts w:cs="Arial" w:ascii="Verdana" w:hAnsi="Verdana"/>
          <w:b w:val="false"/>
          <w:bCs w:val="false"/>
          <w:iCs/>
          <w:color w:val="000000"/>
          <w:sz w:val="20"/>
          <w:szCs w:val="20"/>
        </w:rPr>
        <w:t>. Compete à administração buscar o menor dispêndio possível de recursos, assegurando a qualidade do fornecimento o que exige a escolha da solução mais adequada e eficiente dentre as diversas opções existentes já por ocasião da definição do objeto e das condições da contratação, posto que seja essa descrição que impulsiona a seleção da proposta mais vantajosa.</w:t>
      </w:r>
    </w:p>
    <w:p>
      <w:pPr>
        <w:pStyle w:val="ListParagraph"/>
        <w:tabs>
          <w:tab w:val="clear" w:pos="708"/>
          <w:tab w:val="left" w:pos="0" w:leader="none"/>
        </w:tabs>
        <w:suppressAutoHyphens w:val="false"/>
        <w:spacing w:lineRule="auto" w:line="360" w:before="113" w:after="113"/>
        <w:ind w:hanging="0" w:left="0" w:right="0"/>
        <w:contextualSpacing w:val="false"/>
        <w:jc w:val="both"/>
        <w:rPr/>
      </w:pPr>
      <w:r>
        <w:rPr>
          <w:rFonts w:eastAsia="Times New Roman" w:cs="Times New Roman" w:ascii="Verdana" w:hAnsi="Verdana"/>
          <w:b w:val="false"/>
          <w:bCs w:val="false"/>
          <w:iCs/>
          <w:color w:val="000000"/>
          <w:sz w:val="20"/>
          <w:szCs w:val="20"/>
        </w:rPr>
        <w:t>1.6. O custo estimado total da contratação é de</w:t>
      </w:r>
      <w:r>
        <w:rPr>
          <w:rFonts w:eastAsia="Times New Roman" w:cs="Times New Roman" w:ascii="Verdana" w:hAnsi="Verdana"/>
          <w:b w:val="false"/>
          <w:bCs w:val="false"/>
          <w:i/>
          <w:iCs/>
          <w:color w:val="FF0000"/>
          <w:sz w:val="20"/>
          <w:szCs w:val="20"/>
        </w:rPr>
        <w:t xml:space="preserve"> </w:t>
      </w:r>
      <w:r>
        <w:rPr>
          <w:rFonts w:eastAsia="Times New Roman" w:cs="Times New Roman" w:ascii="Verdana" w:hAnsi="Verdana"/>
          <w:b w:val="false"/>
          <w:bCs w:val="false"/>
          <w:i w:val="false"/>
          <w:iCs w:val="false"/>
          <w:color w:val="000000"/>
          <w:sz w:val="20"/>
          <w:szCs w:val="20"/>
        </w:rPr>
        <w:t xml:space="preserve">R$ 7.440,75 </w:t>
      </w:r>
      <w:r>
        <w:rPr>
          <w:rFonts w:eastAsia="Times New Roman" w:cs="Arial" w:ascii="Verdana" w:hAnsi="Verdana"/>
          <w:b w:val="false"/>
          <w:bCs w:val="false"/>
          <w:i w:val="false"/>
          <w:iCs w:val="false"/>
          <w:color w:val="000000"/>
          <w:sz w:val="20"/>
          <w:szCs w:val="20"/>
          <w:u w:val="none"/>
          <w:lang w:eastAsia="zh-CN"/>
        </w:rPr>
        <w:t>(sete mil quatrocentos e quarenta reais e setenta e cinco centavos),</w:t>
      </w:r>
      <w:r>
        <w:rPr>
          <w:rFonts w:eastAsia="Times New Roman" w:cs="Times New Roman" w:ascii="Verdana" w:hAnsi="Verdana"/>
          <w:b w:val="false"/>
          <w:bCs w:val="false"/>
          <w:i/>
          <w:iCs/>
          <w:color w:val="000000"/>
          <w:sz w:val="20"/>
          <w:szCs w:val="20"/>
        </w:rPr>
        <w:t xml:space="preserve"> </w:t>
      </w:r>
      <w:r>
        <w:rPr>
          <w:rFonts w:eastAsia="Times New Roman" w:cs="Times New Roman" w:ascii="Verdana" w:hAnsi="Verdana"/>
          <w:b w:val="false"/>
          <w:bCs w:val="false"/>
          <w:iCs/>
          <w:color w:val="000000"/>
          <w:sz w:val="20"/>
          <w:szCs w:val="20"/>
        </w:rPr>
        <w:t>conforme custos unitários apostos nos orçamentos e nos quadros comparativos de preços simples em anexo.</w:t>
      </w:r>
    </w:p>
    <w:p>
      <w:pPr>
        <w:pStyle w:val="Nivel1"/>
        <w:spacing w:lineRule="auto" w:line="240" w:before="113" w:after="113"/>
        <w:ind w:hanging="0" w:left="0" w:right="0"/>
        <w:rPr>
          <w:rFonts w:ascii="Verdana" w:hAnsi="Verdana" w:cs="Times New Roman"/>
          <w:bCs/>
          <w:sz w:val="20"/>
          <w:szCs w:val="20"/>
        </w:rPr>
      </w:pPr>
      <w:r>
        <w:rPr/>
      </w:r>
    </w:p>
    <w:p>
      <w:pPr>
        <w:pStyle w:val="Nivel1"/>
        <w:spacing w:lineRule="auto" w:line="360" w:before="113" w:after="113"/>
        <w:ind w:hanging="0" w:left="0" w:right="0"/>
        <w:rPr/>
      </w:pPr>
      <w:r>
        <w:rPr>
          <w:rFonts w:cs="Times New Roman" w:ascii="Verdana" w:hAnsi="Verdana"/>
          <w:bCs/>
          <w:sz w:val="20"/>
          <w:szCs w:val="20"/>
        </w:rPr>
        <w:t>2. FUNDAMENTAÇÃO E DESCRIÇÃO DA NECESSIDADE DA CONTRATAÇÃO</w:t>
      </w:r>
    </w:p>
    <w:p>
      <w:pPr>
        <w:pStyle w:val="PargrafodaLista"/>
        <w:widowControl w:val="false"/>
        <w:tabs>
          <w:tab w:val="clear" w:pos="708"/>
          <w:tab w:val="left" w:pos="-2410" w:leader="none"/>
          <w:tab w:val="left" w:pos="567" w:leader="none"/>
        </w:tabs>
        <w:spacing w:lineRule="auto" w:line="360" w:before="113" w:after="113"/>
        <w:ind w:hanging="0" w:left="0" w:right="0"/>
        <w:contextualSpacing w:val="false"/>
        <w:jc w:val="both"/>
        <w:rPr/>
      </w:pPr>
      <w:r>
        <w:rPr>
          <w:rFonts w:cs="Arial" w:ascii="Verdana" w:hAnsi="Verdana"/>
          <w:b w:val="false"/>
          <w:bCs w:val="false"/>
          <w:color w:val="000000"/>
          <w:sz w:val="20"/>
          <w:szCs w:val="20"/>
          <w:shd w:fill="auto" w:val="clear"/>
        </w:rPr>
        <w:t xml:space="preserve">2.1. </w:t>
      </w:r>
      <w:r>
        <w:rPr>
          <w:rFonts w:eastAsia="Calibri" w:cs="Times New Roman" w:ascii="Verdana" w:hAnsi="Verdana"/>
          <w:b w:val="false"/>
          <w:bCs w:val="false"/>
          <w:color w:val="000000"/>
          <w:sz w:val="20"/>
          <w:szCs w:val="20"/>
          <w:u w:val="none"/>
          <w:shd w:fill="auto" w:val="clear"/>
          <w:lang w:eastAsia="zh-CN"/>
        </w:rPr>
        <w:t>A Fundamentação da Contratação e de seus quantitativos encontra-se pormenorizada em Tópico específico dos Estudos Técnicos Preliminares, apêndice deste Termo de Referência.</w:t>
      </w:r>
    </w:p>
    <w:p>
      <w:pPr>
        <w:pStyle w:val="PargrafodaLista"/>
        <w:widowControl w:val="false"/>
        <w:tabs>
          <w:tab w:val="clear" w:pos="708"/>
          <w:tab w:val="left" w:pos="-2410" w:leader="none"/>
          <w:tab w:val="left" w:pos="567" w:leader="none"/>
        </w:tabs>
        <w:spacing w:lineRule="auto" w:line="240" w:before="113" w:after="113"/>
        <w:ind w:hanging="0" w:left="0" w:right="0"/>
        <w:contextualSpacing w:val="false"/>
        <w:jc w:val="both"/>
        <w:rPr>
          <w:rFonts w:ascii="Verdana" w:hAnsi="Verdana"/>
          <w:b w:val="false"/>
          <w:bCs w:val="false"/>
          <w:sz w:val="20"/>
          <w:szCs w:val="20"/>
        </w:rPr>
      </w:pPr>
      <w:r>
        <w:rPr>
          <w:rFonts w:ascii="Verdana" w:hAnsi="Verdana"/>
          <w:b w:val="false"/>
          <w:bCs w:val="false"/>
          <w:sz w:val="20"/>
          <w:szCs w:val="20"/>
        </w:rPr>
      </w:r>
    </w:p>
    <w:p>
      <w:pPr>
        <w:pStyle w:val="Nivel1"/>
        <w:spacing w:lineRule="auto" w:line="360" w:before="113" w:after="113"/>
        <w:ind w:hanging="0" w:left="0" w:right="0"/>
        <w:rPr/>
      </w:pPr>
      <w:r>
        <w:rPr>
          <w:rFonts w:ascii="Verdana" w:hAnsi="Verdana"/>
          <w:sz w:val="20"/>
          <w:szCs w:val="20"/>
        </w:rPr>
        <w:t>3. DESCRIÇÃO DA SOLUÇÃO</w:t>
      </w:r>
    </w:p>
    <w:p>
      <w:pPr>
        <w:pStyle w:val="Normal"/>
        <w:spacing w:lineRule="auto" w:line="360" w:before="113" w:after="113"/>
        <w:ind w:hanging="0" w:left="0"/>
        <w:jc w:val="both"/>
        <w:rPr/>
      </w:pPr>
      <w:r>
        <w:rPr>
          <w:rFonts w:cs="Arial" w:ascii="Verdana" w:hAnsi="Verdana"/>
          <w:b w:val="false"/>
          <w:bCs w:val="false"/>
          <w:sz w:val="20"/>
          <w:szCs w:val="20"/>
          <w:shd w:fill="auto" w:val="clear"/>
        </w:rPr>
        <w:t>3.1. A solução a ser adotada consiste no cumprimento integral dos dispositivos da emenda parlamentar destinada à estruturação da Instituição</w:t>
      </w:r>
      <w:r>
        <w:rPr>
          <w:rStyle w:val="Fontepargpadro"/>
          <w:rFonts w:cs="Arial" w:ascii="Verdana" w:hAnsi="Verdana"/>
          <w:b w:val="false"/>
          <w:bCs w:val="false"/>
          <w:i w:val="false"/>
          <w:iCs w:val="false"/>
          <w:sz w:val="20"/>
          <w:szCs w:val="20"/>
          <w:shd w:fill="auto" w:val="clear"/>
        </w:rPr>
        <w:t>;</w:t>
      </w:r>
    </w:p>
    <w:p>
      <w:pPr>
        <w:pStyle w:val="Normal"/>
        <w:spacing w:lineRule="auto" w:line="360" w:before="113" w:after="113"/>
        <w:ind w:hanging="0" w:left="0"/>
        <w:jc w:val="both"/>
        <w:rPr/>
      </w:pPr>
      <w:r>
        <w:rPr>
          <w:rStyle w:val="Fontepargpadro"/>
          <w:rFonts w:cs="Arial" w:ascii="Verdana" w:hAnsi="Verdana"/>
          <w:b w:val="false"/>
          <w:bCs w:val="false"/>
          <w:i w:val="false"/>
          <w:iCs w:val="false"/>
          <w:sz w:val="20"/>
          <w:szCs w:val="20"/>
          <w:shd w:fill="auto" w:val="clear"/>
        </w:rPr>
        <w:t>3.2. Este ato, por se tratar de programação parlamentar, chancelado anteriormente a este exercício, estando previsto nos orçamentos anteriores e tendo sido iniciado nos órgãos da administração pública no ano de 2022, não fere a Legislação eleitoral.</w:t>
      </w:r>
    </w:p>
    <w:p>
      <w:pPr>
        <w:pStyle w:val="Normal"/>
        <w:spacing w:lineRule="auto" w:line="360" w:before="113" w:after="113"/>
        <w:ind w:hanging="0" w:left="0"/>
        <w:jc w:val="both"/>
        <w:rPr/>
      </w:pPr>
      <w:r>
        <w:rPr>
          <w:rFonts w:cs="Arial" w:ascii="Verdana" w:hAnsi="Verdana"/>
          <w:b w:val="false"/>
          <w:bCs w:val="false"/>
          <w:sz w:val="20"/>
          <w:szCs w:val="20"/>
          <w:shd w:fill="auto" w:val="clear"/>
        </w:rPr>
        <w:t>3.3. Os serviços deverão ser realizados respeitando as seguintes tarefas:</w:t>
      </w:r>
    </w:p>
    <w:p>
      <w:pPr>
        <w:pStyle w:val="Normal"/>
        <w:widowControl w:val="false"/>
        <w:numPr>
          <w:ilvl w:val="0"/>
          <w:numId w:val="1"/>
        </w:numPr>
        <w:tabs>
          <w:tab w:val="clear" w:pos="708"/>
          <w:tab w:val="left" w:pos="900" w:leader="none"/>
        </w:tabs>
        <w:suppressAutoHyphens w:val="true"/>
        <w:overflowPunct w:val="false"/>
        <w:bidi w:val="0"/>
        <w:spacing w:lineRule="auto" w:line="360" w:before="113" w:after="113"/>
        <w:ind w:firstLine="567" w:left="0" w:right="0"/>
        <w:jc w:val="both"/>
        <w:rPr/>
      </w:pPr>
      <w:r>
        <w:rPr>
          <w:rFonts w:eastAsia="Times New Roman" w:cs="Arial" w:ascii="Verdana" w:hAnsi="Verdana"/>
          <w:color w:val="000000"/>
          <w:kern w:val="0"/>
          <w:sz w:val="20"/>
          <w:szCs w:val="20"/>
          <w:lang w:val="pt-BR" w:eastAsia="zh-CN" w:bidi="ar-SA"/>
        </w:rPr>
        <w:t>Fornecimento dos produtos em perfeitas condições de uso e dentro do prazo estabelecido.</w:t>
      </w:r>
    </w:p>
    <w:p>
      <w:pPr>
        <w:pStyle w:val="Normal"/>
        <w:widowControl w:val="false"/>
        <w:numPr>
          <w:ilvl w:val="0"/>
          <w:numId w:val="1"/>
        </w:numPr>
        <w:tabs>
          <w:tab w:val="clear" w:pos="708"/>
          <w:tab w:val="left" w:pos="900" w:leader="none"/>
        </w:tabs>
        <w:suppressAutoHyphens w:val="true"/>
        <w:overflowPunct w:val="false"/>
        <w:bidi w:val="0"/>
        <w:spacing w:lineRule="auto" w:line="360" w:before="113" w:after="113"/>
        <w:ind w:firstLine="567" w:left="0" w:right="0"/>
        <w:jc w:val="both"/>
        <w:rPr/>
      </w:pPr>
      <w:r>
        <w:rPr>
          <w:rFonts w:eastAsia="Times New Roman" w:cs="Arial" w:ascii="Verdana" w:hAnsi="Verdana"/>
          <w:b w:val="false"/>
          <w:bCs w:val="false"/>
          <w:color w:val="000000"/>
          <w:kern w:val="0"/>
          <w:sz w:val="20"/>
          <w:szCs w:val="20"/>
          <w:shd w:fill="auto" w:val="clear"/>
          <w:lang w:val="pt-BR" w:eastAsia="zh-CN" w:bidi="ar-SA"/>
        </w:rPr>
        <w:t>Responsabilizar-se pela logística e todo procedimento de entrega dos itens;</w:t>
      </w:r>
    </w:p>
    <w:p>
      <w:pPr>
        <w:pStyle w:val="Normal"/>
        <w:widowControl w:val="false"/>
        <w:numPr>
          <w:ilvl w:val="0"/>
          <w:numId w:val="1"/>
        </w:numPr>
        <w:tabs>
          <w:tab w:val="clear" w:pos="708"/>
          <w:tab w:val="left" w:pos="900" w:leader="none"/>
        </w:tabs>
        <w:suppressAutoHyphens w:val="true"/>
        <w:overflowPunct w:val="false"/>
        <w:bidi w:val="0"/>
        <w:spacing w:lineRule="auto" w:line="360" w:before="113" w:after="113"/>
        <w:ind w:firstLine="567" w:left="0" w:right="0"/>
        <w:jc w:val="both"/>
        <w:rPr/>
      </w:pPr>
      <w:r>
        <w:rPr>
          <w:rFonts w:eastAsia="Times New Roman" w:cs="Arial" w:ascii="Verdana" w:hAnsi="Verdana"/>
          <w:b w:val="false"/>
          <w:bCs w:val="false"/>
          <w:color w:val="000000"/>
          <w:kern w:val="0"/>
          <w:sz w:val="20"/>
          <w:szCs w:val="20"/>
          <w:shd w:fill="auto" w:val="clear"/>
          <w:lang w:val="pt-BR" w:eastAsia="zh-CN" w:bidi="ar-SA"/>
        </w:rPr>
        <w:t>Fornecer os produtos de acordo com a marca e modelo presente na cotação de preços;</w:t>
      </w:r>
    </w:p>
    <w:p>
      <w:pPr>
        <w:pStyle w:val="Normal"/>
        <w:widowControl w:val="false"/>
        <w:numPr>
          <w:ilvl w:val="0"/>
          <w:numId w:val="1"/>
        </w:numPr>
        <w:tabs>
          <w:tab w:val="clear" w:pos="708"/>
          <w:tab w:val="left" w:pos="900" w:leader="none"/>
        </w:tabs>
        <w:suppressAutoHyphens w:val="true"/>
        <w:overflowPunct w:val="false"/>
        <w:bidi w:val="0"/>
        <w:spacing w:lineRule="auto" w:line="360" w:before="113" w:after="113"/>
        <w:ind w:firstLine="567" w:left="0" w:right="0"/>
        <w:jc w:val="both"/>
        <w:rPr/>
      </w:pPr>
      <w:r>
        <w:rPr>
          <w:rFonts w:eastAsia="Times New Roman" w:cs="Arial" w:ascii="Verdana" w:hAnsi="Verdana"/>
          <w:b w:val="false"/>
          <w:bCs w:val="false"/>
          <w:color w:val="000000"/>
          <w:kern w:val="0"/>
          <w:sz w:val="20"/>
          <w:szCs w:val="20"/>
          <w:shd w:fill="auto" w:val="clear"/>
          <w:lang w:val="pt-BR" w:eastAsia="zh-CN" w:bidi="ar-SA"/>
        </w:rPr>
        <w:t>Todos os produtos devem vir acompanhados dos acessórios necessários à sua instalação e/ou funcionamento.</w:t>
      </w:r>
    </w:p>
    <w:p>
      <w:pPr>
        <w:pStyle w:val="Normal"/>
        <w:spacing w:lineRule="auto" w:line="360" w:before="113" w:after="113"/>
        <w:ind w:hanging="0" w:left="0"/>
        <w:jc w:val="both"/>
        <w:rPr/>
      </w:pPr>
      <w:r>
        <w:rPr>
          <w:rFonts w:ascii="Verdana" w:hAnsi="Verdana"/>
          <w:b w:val="false"/>
          <w:bCs w:val="false"/>
          <w:color w:val="000000"/>
          <w:sz w:val="20"/>
          <w:szCs w:val="20"/>
        </w:rPr>
        <w:t>3.4. Os produtos que apresentarem avarias ou defeitos, serão devolvidos ao fornecedor e este terá o prazo de até 10 dias para repor o item;</w:t>
      </w:r>
    </w:p>
    <w:p>
      <w:pPr>
        <w:pStyle w:val="Normal"/>
        <w:spacing w:lineRule="auto" w:line="360" w:before="113" w:after="113"/>
        <w:ind w:hanging="0" w:left="0"/>
        <w:jc w:val="both"/>
        <w:rPr/>
      </w:pPr>
      <w:r>
        <w:rPr>
          <w:rFonts w:cs="Arial" w:ascii="Verdana" w:hAnsi="Verdana"/>
          <w:b w:val="false"/>
          <w:bCs w:val="false"/>
          <w:color w:val="000000"/>
          <w:sz w:val="20"/>
          <w:szCs w:val="20"/>
        </w:rPr>
        <w:t xml:space="preserve">3.6. A </w:t>
      </w:r>
      <w:r>
        <w:rPr>
          <w:rFonts w:eastAsia="Times New Roman" w:cs="Arial" w:ascii="Verdana" w:hAnsi="Verdana"/>
          <w:b w:val="false"/>
          <w:bCs w:val="false"/>
          <w:color w:val="000000"/>
          <w:kern w:val="0"/>
          <w:sz w:val="20"/>
          <w:szCs w:val="20"/>
          <w:lang w:val="pt-BR" w:eastAsia="zh-CN" w:bidi="ar-SA"/>
        </w:rPr>
        <w:t>contratação</w:t>
      </w:r>
      <w:r>
        <w:rPr>
          <w:rFonts w:cs="Arial" w:ascii="Verdana" w:hAnsi="Verdana"/>
          <w:b w:val="false"/>
          <w:bCs w:val="false"/>
          <w:color w:val="000000"/>
          <w:sz w:val="20"/>
          <w:szCs w:val="20"/>
        </w:rPr>
        <w:t xml:space="preserve"> deverá obedecer, no que couber, ao disposto na Lei n.º 14.133/2021 e suas alterações.</w:t>
      </w:r>
    </w:p>
    <w:p>
      <w:pPr>
        <w:pStyle w:val="Normal"/>
        <w:spacing w:lineRule="auto" w:line="360" w:before="113" w:after="113"/>
        <w:ind w:hanging="0" w:left="0"/>
        <w:jc w:val="both"/>
        <w:rPr/>
      </w:pPr>
      <w:r>
        <w:rPr>
          <w:rFonts w:cs="Arial" w:ascii="Verdana" w:hAnsi="Verdana"/>
          <w:b/>
          <w:sz w:val="20"/>
          <w:szCs w:val="20"/>
        </w:rPr>
        <w:t>3.7. Definição e justificativa de caracterização do objeto e prazos da contratação</w:t>
      </w:r>
    </w:p>
    <w:p>
      <w:pPr>
        <w:pStyle w:val="Normal"/>
        <w:spacing w:lineRule="auto" w:line="360" w:before="113" w:after="113"/>
        <w:ind w:hanging="0" w:left="0"/>
        <w:jc w:val="both"/>
        <w:rPr/>
      </w:pPr>
      <w:r>
        <w:rPr>
          <w:rFonts w:cs="Arial" w:ascii="Verdana" w:hAnsi="Verdana"/>
          <w:b w:val="false"/>
          <w:bCs w:val="false"/>
          <w:sz w:val="20"/>
          <w:szCs w:val="20"/>
        </w:rPr>
        <w:t xml:space="preserve">3.7.1 As especificações dos produtos que estão contidas neste </w:t>
      </w:r>
      <w:r>
        <w:rPr>
          <w:rFonts w:eastAsia="Times New Roman" w:cs="Arial" w:ascii="Verdana" w:hAnsi="Verdana"/>
          <w:b w:val="false"/>
          <w:bCs w:val="false"/>
          <w:color w:val="auto"/>
          <w:kern w:val="0"/>
          <w:sz w:val="20"/>
          <w:szCs w:val="20"/>
          <w:lang w:val="pt-BR" w:eastAsia="zh-CN" w:bidi="ar-SA"/>
        </w:rPr>
        <w:t>processo</w:t>
      </w:r>
      <w:r>
        <w:rPr>
          <w:rFonts w:cs="Arial" w:ascii="Verdana" w:hAnsi="Verdana"/>
          <w:b w:val="false"/>
          <w:bCs w:val="false"/>
          <w:sz w:val="20"/>
          <w:szCs w:val="20"/>
        </w:rPr>
        <w:t xml:space="preserve"> foram estudadas para atender todas as necessidades apresentadas e são necessárias a garantir uma boa qualidade do produto ofertado, facilidade na participação de empresas ofertantes e agilidade na entrega pelo fornecedor;</w:t>
      </w:r>
    </w:p>
    <w:p>
      <w:pPr>
        <w:pStyle w:val="Normal"/>
        <w:spacing w:lineRule="auto" w:line="360" w:before="113" w:after="113"/>
        <w:ind w:hanging="0" w:left="0"/>
        <w:jc w:val="both"/>
        <w:rPr/>
      </w:pPr>
      <w:r>
        <w:rPr>
          <w:rFonts w:cs="Arial" w:ascii="Verdana" w:hAnsi="Verdana"/>
          <w:b w:val="false"/>
          <w:bCs w:val="false"/>
          <w:sz w:val="20"/>
          <w:szCs w:val="20"/>
        </w:rPr>
        <w:t>3.7.2. Não haverá danos ao meio ambiente.</w:t>
      </w:r>
    </w:p>
    <w:p>
      <w:pPr>
        <w:pStyle w:val="Normal"/>
        <w:spacing w:lineRule="auto" w:line="240" w:before="0" w:after="0"/>
        <w:ind w:hanging="0" w:left="0"/>
        <w:jc w:val="both"/>
        <w:rPr>
          <w:rFonts w:ascii="Verdana" w:hAnsi="Verdana"/>
          <w:sz w:val="20"/>
          <w:szCs w:val="20"/>
        </w:rPr>
      </w:pPr>
      <w:r>
        <w:rPr>
          <w:rFonts w:ascii="Verdana" w:hAnsi="Verdana"/>
          <w:sz w:val="20"/>
          <w:szCs w:val="20"/>
        </w:rPr>
      </w:r>
    </w:p>
    <w:p>
      <w:pPr>
        <w:pStyle w:val="Nivel1"/>
        <w:spacing w:lineRule="auto" w:line="360" w:before="113" w:after="113"/>
        <w:ind w:hanging="0" w:left="0" w:right="0"/>
        <w:rPr/>
      </w:pPr>
      <w:r>
        <w:rPr>
          <w:rFonts w:ascii="Verdana" w:hAnsi="Verdana"/>
          <w:bCs/>
          <w:sz w:val="20"/>
          <w:szCs w:val="20"/>
        </w:rPr>
        <w:t>4. CLASSIFICAÇÃO DOS BENS COMUNS</w:t>
      </w:r>
    </w:p>
    <w:p>
      <w:pPr>
        <w:pStyle w:val="Normal"/>
        <w:spacing w:lineRule="auto" w:line="360" w:before="113" w:after="113"/>
        <w:ind w:hanging="0" w:left="0" w:right="0"/>
        <w:jc w:val="both"/>
        <w:rPr/>
      </w:pPr>
      <w:r>
        <w:rPr>
          <w:rFonts w:cs="Arial" w:ascii="Verdana" w:hAnsi="Verdana"/>
          <w:b w:val="false"/>
          <w:bCs w:val="false"/>
          <w:color w:val="000000"/>
          <w:sz w:val="20"/>
          <w:szCs w:val="20"/>
        </w:rPr>
        <w:t>4.1 Trata-se de bens comuns a ser contratado mediante de registro de preços.</w:t>
      </w:r>
    </w:p>
    <w:p>
      <w:pPr>
        <w:pStyle w:val="Normal"/>
        <w:spacing w:lineRule="auto" w:line="240" w:before="56" w:after="56"/>
        <w:ind w:hanging="0" w:left="0" w:right="0"/>
        <w:jc w:val="both"/>
        <w:rPr>
          <w:rFonts w:ascii="Verdana" w:hAnsi="Verdana"/>
          <w:sz w:val="20"/>
          <w:szCs w:val="20"/>
        </w:rPr>
      </w:pPr>
      <w:r>
        <w:rPr>
          <w:rFonts w:ascii="Verdana" w:hAnsi="Verdana"/>
          <w:sz w:val="20"/>
          <w:szCs w:val="20"/>
        </w:rPr>
      </w:r>
    </w:p>
    <w:p>
      <w:pPr>
        <w:pStyle w:val="Normal"/>
        <w:spacing w:lineRule="auto" w:line="360" w:before="113" w:after="113"/>
        <w:ind w:hanging="0" w:left="0"/>
        <w:jc w:val="both"/>
        <w:rPr/>
      </w:pPr>
      <w:r>
        <w:rPr>
          <w:rFonts w:eastAsia="Arial" w:cs="Arial" w:ascii="Verdana" w:hAnsi="Verdana"/>
          <w:b/>
          <w:sz w:val="20"/>
          <w:szCs w:val="20"/>
        </w:rPr>
        <w:t>5. DESCRIÇÃO DOS REQUISITOS DA CONTRATAÇÃO</w:t>
      </w:r>
    </w:p>
    <w:p>
      <w:pPr>
        <w:pStyle w:val="Normal"/>
        <w:spacing w:lineRule="auto" w:line="360" w:before="113" w:after="113"/>
        <w:ind w:hanging="0" w:left="0"/>
        <w:jc w:val="both"/>
        <w:rPr/>
      </w:pPr>
      <w:r>
        <w:rPr>
          <w:rFonts w:cs="Arial" w:ascii="Verdana" w:hAnsi="Verdana"/>
          <w:b w:val="false"/>
          <w:bCs w:val="false"/>
          <w:sz w:val="20"/>
          <w:szCs w:val="20"/>
          <w:shd w:fill="auto" w:val="clear"/>
        </w:rPr>
        <w:t xml:space="preserve">5.1. </w:t>
      </w:r>
      <w:r>
        <w:rPr>
          <w:rFonts w:eastAsia="Times New Roman" w:cs="Arial" w:ascii="Verdana" w:hAnsi="Verdana"/>
          <w:b w:val="false"/>
          <w:bCs w:val="false"/>
          <w:color w:val="000000"/>
          <w:kern w:val="0"/>
          <w:sz w:val="20"/>
          <w:szCs w:val="20"/>
          <w:shd w:fill="auto" w:val="clear"/>
          <w:lang w:val="pt-BR" w:eastAsia="zh-CN" w:bidi="ar-SA"/>
        </w:rPr>
        <w:t xml:space="preserve">Para fornecimento dos produtos </w:t>
      </w:r>
      <w:r>
        <w:rPr>
          <w:rFonts w:cs="Arial" w:ascii="Verdana" w:hAnsi="Verdana"/>
          <w:b w:val="false"/>
          <w:bCs w:val="false"/>
          <w:sz w:val="20"/>
          <w:szCs w:val="20"/>
          <w:shd w:fill="auto" w:val="clear"/>
        </w:rPr>
        <w:t>a CONTRATADA deve:</w:t>
      </w:r>
    </w:p>
    <w:p>
      <w:pPr>
        <w:pStyle w:val="Normal"/>
        <w:widowControl/>
        <w:suppressAutoHyphens w:val="true"/>
        <w:overflowPunct w:val="false"/>
        <w:bidi w:val="0"/>
        <w:spacing w:lineRule="auto" w:line="360" w:before="113" w:after="113"/>
        <w:ind w:firstLine="567" w:left="0" w:right="0"/>
        <w:jc w:val="both"/>
        <w:rPr/>
      </w:pPr>
      <w:r>
        <w:rPr>
          <w:rFonts w:cs="Arial" w:ascii="Verdana" w:hAnsi="Verdana"/>
          <w:b/>
          <w:bCs/>
          <w:sz w:val="20"/>
          <w:szCs w:val="20"/>
          <w:shd w:fill="auto" w:val="clear"/>
        </w:rPr>
        <w:t>a)</w:t>
      </w:r>
      <w:r>
        <w:rPr>
          <w:rFonts w:cs="Arial" w:ascii="Verdana" w:hAnsi="Verdana"/>
          <w:b w:val="false"/>
          <w:bCs w:val="false"/>
          <w:sz w:val="20"/>
          <w:szCs w:val="20"/>
          <w:shd w:fill="auto" w:val="clear"/>
        </w:rPr>
        <w:t xml:space="preserve"> </w:t>
      </w:r>
      <w:r>
        <w:rPr>
          <w:rFonts w:eastAsia="Times New Roman" w:cs="Arial" w:ascii="Verdana" w:hAnsi="Verdana"/>
          <w:b w:val="false"/>
          <w:bCs w:val="false"/>
          <w:color w:val="000000"/>
          <w:kern w:val="0"/>
          <w:sz w:val="20"/>
          <w:szCs w:val="20"/>
          <w:shd w:fill="auto" w:val="clear"/>
          <w:lang w:val="pt-BR" w:eastAsia="zh-CN" w:bidi="ar-SA"/>
        </w:rPr>
        <w:t xml:space="preserve">Se submeter às regras do edital de licitação ou dispensa de licitação, apresentando toda a documentação exigida pelo órgão público competente; </w:t>
      </w:r>
    </w:p>
    <w:p>
      <w:pPr>
        <w:pStyle w:val="Normal"/>
        <w:widowControl/>
        <w:suppressAutoHyphens w:val="true"/>
        <w:overflowPunct w:val="false"/>
        <w:bidi w:val="0"/>
        <w:spacing w:lineRule="auto" w:line="360" w:before="113" w:after="113"/>
        <w:ind w:firstLine="567" w:left="0" w:right="0"/>
        <w:jc w:val="both"/>
        <w:rPr/>
      </w:pPr>
      <w:r>
        <w:rPr>
          <w:rFonts w:eastAsia="Times New Roman" w:cs="Arial" w:ascii="Verdana" w:hAnsi="Verdana"/>
          <w:b/>
          <w:bCs/>
          <w:color w:val="000000"/>
          <w:kern w:val="0"/>
          <w:sz w:val="20"/>
          <w:szCs w:val="20"/>
          <w:shd w:fill="auto" w:val="clear"/>
          <w:lang w:val="pt-BR" w:eastAsia="zh-CN" w:bidi="ar-SA"/>
        </w:rPr>
        <w:t>b)</w:t>
      </w:r>
      <w:r>
        <w:rPr>
          <w:rFonts w:eastAsia="Times New Roman" w:cs="Arial" w:ascii="Verdana" w:hAnsi="Verdana"/>
          <w:b w:val="false"/>
          <w:bCs w:val="false"/>
          <w:color w:val="000000"/>
          <w:kern w:val="0"/>
          <w:sz w:val="20"/>
          <w:szCs w:val="20"/>
          <w:shd w:fill="auto" w:val="clear"/>
          <w:lang w:val="pt-BR" w:eastAsia="zh-CN" w:bidi="ar-SA"/>
        </w:rPr>
        <w:t xml:space="preserve"> Estar em dia com as obrigações fiscais da empresa; </w:t>
      </w:r>
    </w:p>
    <w:p>
      <w:pPr>
        <w:pStyle w:val="Normal"/>
        <w:widowControl/>
        <w:suppressAutoHyphens w:val="true"/>
        <w:overflowPunct w:val="false"/>
        <w:bidi w:val="0"/>
        <w:spacing w:lineRule="auto" w:line="360" w:before="113" w:after="113"/>
        <w:ind w:firstLine="567" w:left="0" w:right="0"/>
        <w:jc w:val="both"/>
        <w:rPr/>
      </w:pPr>
      <w:r>
        <w:rPr>
          <w:rFonts w:eastAsia="Times New Roman" w:cs="Arial" w:ascii="Verdana" w:hAnsi="Verdana"/>
          <w:b/>
          <w:bCs/>
          <w:color w:val="000000"/>
          <w:kern w:val="0"/>
          <w:sz w:val="20"/>
          <w:szCs w:val="20"/>
          <w:shd w:fill="auto" w:val="clear"/>
          <w:lang w:val="pt-BR" w:eastAsia="zh-CN" w:bidi="ar-SA"/>
        </w:rPr>
        <w:t>c)</w:t>
      </w:r>
      <w:r>
        <w:rPr>
          <w:rFonts w:eastAsia="Times New Roman" w:cs="Arial" w:ascii="Verdana" w:hAnsi="Verdana"/>
          <w:b w:val="false"/>
          <w:bCs w:val="false"/>
          <w:color w:val="000000"/>
          <w:kern w:val="0"/>
          <w:sz w:val="20"/>
          <w:szCs w:val="20"/>
          <w:shd w:fill="auto" w:val="clear"/>
          <w:lang w:val="pt-BR" w:eastAsia="zh-CN" w:bidi="ar-SA"/>
        </w:rPr>
        <w:t xml:space="preserve"> Fornecer todas e quaisquer informações solicitadas pela administração pública no que diz respeito à contratação;</w:t>
      </w:r>
    </w:p>
    <w:p>
      <w:pPr>
        <w:pStyle w:val="Normal"/>
        <w:widowControl/>
        <w:suppressAutoHyphens w:val="true"/>
        <w:overflowPunct w:val="false"/>
        <w:bidi w:val="0"/>
        <w:spacing w:lineRule="auto" w:line="360" w:before="113" w:after="113"/>
        <w:ind w:firstLine="567" w:left="0" w:right="0"/>
        <w:jc w:val="both"/>
        <w:rPr/>
      </w:pPr>
      <w:r>
        <w:rPr>
          <w:rFonts w:eastAsia="Times New Roman" w:cs="Arial" w:ascii="Verdana" w:hAnsi="Verdana"/>
          <w:b/>
          <w:bCs/>
          <w:color w:val="000000"/>
          <w:kern w:val="0"/>
          <w:sz w:val="20"/>
          <w:szCs w:val="20"/>
          <w:shd w:fill="auto" w:val="clear"/>
          <w:lang w:val="pt-BR" w:eastAsia="zh-CN" w:bidi="ar-SA"/>
        </w:rPr>
        <w:t>d)</w:t>
      </w:r>
      <w:r>
        <w:rPr>
          <w:rFonts w:eastAsia="Times New Roman" w:cs="Arial" w:ascii="Verdana" w:hAnsi="Verdana"/>
          <w:b w:val="false"/>
          <w:bCs w:val="false"/>
          <w:color w:val="000000"/>
          <w:kern w:val="0"/>
          <w:sz w:val="20"/>
          <w:szCs w:val="20"/>
          <w:shd w:fill="auto" w:val="clear"/>
          <w:lang w:val="pt-BR" w:eastAsia="zh-CN" w:bidi="ar-SA"/>
        </w:rPr>
        <w:t xml:space="preserve"> Fornecer os itens em perfeitas condições de uso, sem nenhuma avaria que comprometa a sua qualidade</w:t>
      </w:r>
    </w:p>
    <w:p>
      <w:pPr>
        <w:pStyle w:val="Normal"/>
        <w:widowControl/>
        <w:suppressAutoHyphens w:val="true"/>
        <w:overflowPunct w:val="false"/>
        <w:bidi w:val="0"/>
        <w:spacing w:lineRule="auto" w:line="360" w:before="113" w:after="113"/>
        <w:ind w:firstLine="567" w:left="0" w:right="0"/>
        <w:jc w:val="both"/>
        <w:rPr/>
      </w:pPr>
      <w:r>
        <w:rPr>
          <w:rFonts w:cs="Arial" w:ascii="Verdana" w:hAnsi="Verdana"/>
          <w:b/>
          <w:bCs/>
          <w:sz w:val="20"/>
          <w:szCs w:val="20"/>
          <w:shd w:fill="auto" w:val="clear"/>
        </w:rPr>
        <w:t>e)</w:t>
      </w:r>
      <w:r>
        <w:rPr>
          <w:rFonts w:cs="Arial" w:ascii="Verdana" w:hAnsi="Verdana"/>
          <w:b w:val="false"/>
          <w:bCs w:val="false"/>
          <w:sz w:val="20"/>
          <w:szCs w:val="20"/>
          <w:shd w:fill="auto" w:val="clear"/>
        </w:rPr>
        <w:t xml:space="preserve"> </w:t>
      </w:r>
      <w:r>
        <w:rPr>
          <w:rFonts w:eastAsia="Times New Roman" w:cs="Arial" w:ascii="Verdana" w:hAnsi="Verdana"/>
          <w:b w:val="false"/>
          <w:bCs w:val="false"/>
          <w:color w:val="000000"/>
          <w:kern w:val="0"/>
          <w:sz w:val="20"/>
          <w:szCs w:val="20"/>
          <w:shd w:fill="auto" w:val="clear"/>
          <w:lang w:val="pt-BR" w:eastAsia="zh-CN" w:bidi="ar-SA"/>
        </w:rPr>
        <w:t>Fornecer os itens conforme a cotação de preços</w:t>
      </w:r>
      <w:r>
        <w:rPr>
          <w:rFonts w:cs="Arial" w:ascii="Verdana" w:hAnsi="Verdana"/>
          <w:b w:val="false"/>
          <w:bCs w:val="false"/>
          <w:sz w:val="20"/>
          <w:szCs w:val="20"/>
          <w:shd w:fill="auto" w:val="clear"/>
        </w:rPr>
        <w:t xml:space="preserve">. </w:t>
      </w:r>
    </w:p>
    <w:p>
      <w:pPr>
        <w:pStyle w:val="Normal"/>
        <w:widowControl/>
        <w:suppressAutoHyphens w:val="true"/>
        <w:overflowPunct w:val="false"/>
        <w:bidi w:val="0"/>
        <w:spacing w:lineRule="auto" w:line="360" w:before="113" w:after="113"/>
        <w:ind w:firstLine="567" w:left="0" w:right="0"/>
        <w:jc w:val="both"/>
        <w:rPr/>
      </w:pPr>
      <w:r>
        <w:rPr>
          <w:rFonts w:cs="Arial" w:ascii="Verdana" w:hAnsi="Verdana"/>
          <w:b/>
          <w:bCs/>
          <w:color w:val="000000"/>
          <w:sz w:val="20"/>
          <w:szCs w:val="20"/>
          <w:shd w:fill="auto" w:val="clear"/>
        </w:rPr>
        <w:t>f)</w:t>
      </w:r>
      <w:r>
        <w:rPr>
          <w:rFonts w:cs="Arial" w:ascii="Verdana" w:hAnsi="Verdana"/>
          <w:b w:val="false"/>
          <w:bCs w:val="false"/>
          <w:color w:val="000000"/>
          <w:sz w:val="20"/>
          <w:szCs w:val="20"/>
          <w:shd w:fill="auto" w:val="clear"/>
        </w:rPr>
        <w:t xml:space="preserve"> </w:t>
      </w:r>
      <w:r>
        <w:rPr>
          <w:rFonts w:eastAsia="Times New Roman" w:cs="Arial" w:ascii="Verdana" w:hAnsi="Verdana"/>
          <w:b w:val="false"/>
          <w:bCs w:val="false"/>
          <w:color w:val="000000"/>
          <w:kern w:val="0"/>
          <w:sz w:val="20"/>
          <w:szCs w:val="20"/>
          <w:shd w:fill="auto" w:val="clear"/>
          <w:lang w:val="pt-BR" w:eastAsia="zh-CN" w:bidi="ar-SA"/>
        </w:rPr>
        <w:t>realizar a entrega dos produtos dentro do prazo determinado, sendo de sua total responsabilidade os custos com a logística</w:t>
      </w:r>
      <w:r>
        <w:rPr>
          <w:rFonts w:cs="Arial" w:ascii="Verdana" w:hAnsi="Verdana"/>
          <w:b w:val="false"/>
          <w:bCs w:val="false"/>
          <w:color w:val="000000"/>
          <w:sz w:val="20"/>
          <w:szCs w:val="20"/>
          <w:shd w:fill="auto" w:val="clear"/>
        </w:rPr>
        <w:t xml:space="preserve">. </w:t>
      </w:r>
    </w:p>
    <w:p>
      <w:pPr>
        <w:pStyle w:val="Normal"/>
        <w:widowControl/>
        <w:suppressAutoHyphens w:val="true"/>
        <w:overflowPunct w:val="false"/>
        <w:bidi w:val="0"/>
        <w:spacing w:lineRule="auto" w:line="360" w:before="113" w:after="113"/>
        <w:ind w:firstLine="567" w:left="0" w:right="0"/>
        <w:jc w:val="both"/>
        <w:rPr/>
      </w:pPr>
      <w:r>
        <w:rPr>
          <w:rFonts w:eastAsia="Times New Roman" w:cs="Arial" w:ascii="Verdana" w:hAnsi="Verdana"/>
          <w:b/>
          <w:bCs/>
          <w:color w:val="000000"/>
          <w:kern w:val="0"/>
          <w:sz w:val="20"/>
          <w:szCs w:val="20"/>
          <w:shd w:fill="auto" w:val="clear"/>
          <w:lang w:val="pt-BR" w:eastAsia="zh-CN" w:bidi="ar-SA"/>
        </w:rPr>
        <w:t>g)</w:t>
      </w:r>
      <w:r>
        <w:rPr>
          <w:rFonts w:eastAsia="Times New Roman" w:cs="Arial" w:ascii="Verdana" w:hAnsi="Verdana"/>
          <w:b w:val="false"/>
          <w:bCs w:val="false"/>
          <w:color w:val="000000"/>
          <w:kern w:val="0"/>
          <w:sz w:val="20"/>
          <w:szCs w:val="20"/>
          <w:shd w:fill="auto" w:val="clear"/>
          <w:lang w:val="pt-BR" w:eastAsia="zh-CN" w:bidi="ar-SA"/>
        </w:rPr>
        <w:t xml:space="preserve"> Realizar substituição dos produtos danificados em até 05 dias, se for o caso.</w:t>
      </w:r>
    </w:p>
    <w:p>
      <w:pPr>
        <w:pStyle w:val="Normal"/>
        <w:spacing w:lineRule="auto" w:line="360" w:before="113" w:after="113"/>
        <w:ind w:hanging="0" w:left="0"/>
        <w:jc w:val="both"/>
        <w:rPr/>
      </w:pPr>
      <w:r>
        <w:rPr>
          <w:rFonts w:ascii="Verdana" w:hAnsi="Verdana"/>
          <w:b/>
          <w:bCs/>
          <w:sz w:val="20"/>
          <w:szCs w:val="20"/>
          <w:shd w:fill="auto" w:val="clear"/>
        </w:rPr>
        <w:t>5.2. Da qualificação técnica.</w:t>
      </w:r>
    </w:p>
    <w:p>
      <w:pPr>
        <w:pStyle w:val="Normal"/>
        <w:spacing w:lineRule="auto" w:line="360" w:before="113" w:after="113"/>
        <w:ind w:hanging="0" w:left="0"/>
        <w:jc w:val="both"/>
        <w:rPr/>
      </w:pPr>
      <w:r>
        <w:rPr>
          <w:rFonts w:ascii="Verdana" w:hAnsi="Verdana"/>
          <w:b w:val="false"/>
          <w:bCs w:val="false"/>
          <w:sz w:val="20"/>
          <w:szCs w:val="20"/>
          <w:shd w:fill="auto" w:val="clear"/>
        </w:rPr>
        <w:t xml:space="preserve">5.2.1. </w:t>
      </w:r>
      <w:r>
        <w:rPr>
          <w:rFonts w:eastAsia="Times New Roman" w:cs="Times New Roman" w:ascii="Verdana" w:hAnsi="Verdana"/>
          <w:b w:val="false"/>
          <w:bCs w:val="false"/>
          <w:color w:val="000000"/>
          <w:kern w:val="0"/>
          <w:sz w:val="20"/>
          <w:szCs w:val="20"/>
          <w:shd w:fill="auto" w:val="clear"/>
          <w:lang w:val="pt-BR" w:eastAsia="zh-CN" w:bidi="ar-SA"/>
        </w:rPr>
        <w:t xml:space="preserve">A empresa fornecedora deve ter suas atividades correspondentes ao objeto da aquisição. </w:t>
      </w:r>
    </w:p>
    <w:p>
      <w:pPr>
        <w:pStyle w:val="Normal"/>
        <w:spacing w:lineRule="auto" w:line="360" w:before="113" w:after="113"/>
        <w:ind w:hanging="0" w:left="0"/>
        <w:jc w:val="both"/>
        <w:rPr/>
      </w:pPr>
      <w:r>
        <w:rPr>
          <w:rFonts w:ascii="Verdana" w:hAnsi="Verdana"/>
          <w:b w:val="false"/>
          <w:bCs w:val="false"/>
          <w:sz w:val="20"/>
          <w:szCs w:val="20"/>
          <w:shd w:fill="auto" w:val="clear"/>
        </w:rPr>
        <w:t>5.2.2. Registro da pessoa jurídica (CONTRATADA) nos órgãos competentes e Conselho Regional da classe, se for o caso.</w:t>
      </w:r>
    </w:p>
    <w:p>
      <w:pPr>
        <w:pStyle w:val="ListParagraph"/>
        <w:suppressAutoHyphens w:val="false"/>
        <w:spacing w:lineRule="auto" w:line="360" w:before="113" w:after="113"/>
        <w:ind w:hanging="0" w:left="0" w:right="0"/>
        <w:contextualSpacing w:val="false"/>
        <w:jc w:val="both"/>
        <w:rPr/>
      </w:pPr>
      <w:r>
        <w:rPr>
          <w:rFonts w:eastAsia="Arial" w:cs="Arial" w:ascii="Verdana" w:hAnsi="Verdana"/>
          <w:b w:val="false"/>
          <w:bCs w:val="false"/>
          <w:sz w:val="20"/>
          <w:szCs w:val="20"/>
        </w:rPr>
        <w:t xml:space="preserve">5.2.3. O valor unitário do item deverá ser calculado já incluindo insumos, mão de obra e logística. </w:t>
      </w:r>
    </w:p>
    <w:p>
      <w:pPr>
        <w:pStyle w:val="ListParagraph"/>
        <w:suppressAutoHyphens w:val="false"/>
        <w:spacing w:lineRule="auto" w:line="240" w:before="113" w:after="113"/>
        <w:ind w:hanging="0" w:left="0" w:right="0"/>
        <w:contextualSpacing w:val="false"/>
        <w:jc w:val="both"/>
        <w:rPr/>
      </w:pPr>
      <w:r>
        <w:rPr/>
      </w:r>
    </w:p>
    <w:p>
      <w:pPr>
        <w:pStyle w:val="Nivel1"/>
        <w:suppressAutoHyphens w:val="true"/>
        <w:spacing w:lineRule="auto" w:line="360" w:before="113" w:after="113"/>
        <w:ind w:hanging="0" w:left="0" w:right="0"/>
        <w:rPr/>
      </w:pPr>
      <w:r>
        <w:rPr>
          <w:rFonts w:ascii="Verdana" w:hAnsi="Verdana"/>
          <w:i w:val="false"/>
          <w:iCs w:val="false"/>
          <w:sz w:val="20"/>
          <w:szCs w:val="20"/>
        </w:rPr>
        <w:t>6. ENTREGA E CRITÉRIOS DE ACEITAÇÃO DO OBJETO.</w:t>
      </w:r>
    </w:p>
    <w:p>
      <w:pPr>
        <w:pStyle w:val="Normal"/>
        <w:spacing w:lineRule="auto" w:line="360" w:before="113" w:after="113"/>
        <w:ind w:hanging="0" w:left="0" w:right="0"/>
        <w:jc w:val="both"/>
        <w:rPr/>
      </w:pPr>
      <w:r>
        <w:rPr>
          <w:rFonts w:cs="Arial" w:ascii="Verdana" w:hAnsi="Verdana"/>
          <w:b w:val="false"/>
          <w:bCs w:val="false"/>
          <w:i w:val="false"/>
          <w:iCs w:val="false"/>
          <w:color w:val="000000"/>
          <w:sz w:val="20"/>
          <w:szCs w:val="20"/>
        </w:rPr>
        <w:t xml:space="preserve">6.1. </w:t>
      </w:r>
      <w:r>
        <w:rPr>
          <w:rFonts w:cs="Arial" w:ascii="Verdana" w:hAnsi="Verdana"/>
          <w:b w:val="false"/>
          <w:bCs w:val="false"/>
          <w:sz w:val="20"/>
          <w:szCs w:val="20"/>
        </w:rPr>
        <w:t>O fornecedor deverá entregar as mercadorias de acordo com as descrições contidas nos autos e do</w:t>
      </w:r>
      <w:r>
        <w:rPr>
          <w:rFonts w:eastAsia="Times New Roman" w:cs="Arial" w:ascii="Verdana" w:hAnsi="Verdana"/>
          <w:b w:val="false"/>
          <w:bCs w:val="false"/>
          <w:color w:val="auto"/>
          <w:kern w:val="0"/>
          <w:sz w:val="20"/>
          <w:szCs w:val="20"/>
          <w:lang w:val="pt-BR" w:eastAsia="pt-BR" w:bidi="ar-SA"/>
        </w:rPr>
        <w:t xml:space="preserve"> recebimento da Autorização de Fornecimento expedida pelo Departamento de Compras e Contratos.</w:t>
      </w:r>
    </w:p>
    <w:p>
      <w:pPr>
        <w:pStyle w:val="Normal"/>
        <w:spacing w:lineRule="auto" w:line="360" w:before="113" w:after="113"/>
        <w:ind w:hanging="0" w:left="0" w:right="0"/>
        <w:jc w:val="both"/>
        <w:rPr/>
      </w:pPr>
      <w:r>
        <w:rPr>
          <w:rFonts w:cs="Arial" w:ascii="Verdana" w:hAnsi="Verdana"/>
          <w:b w:val="false"/>
          <w:bCs w:val="false"/>
          <w:i w:val="false"/>
          <w:iCs w:val="false"/>
          <w:color w:val="000000"/>
          <w:sz w:val="20"/>
          <w:szCs w:val="20"/>
        </w:rPr>
        <w:t>6.2. A entrega do será feita:</w:t>
      </w:r>
    </w:p>
    <w:p>
      <w:pPr>
        <w:pStyle w:val="Normal"/>
        <w:spacing w:lineRule="auto" w:line="360" w:before="113" w:after="113"/>
        <w:ind w:hanging="0" w:left="0" w:right="0"/>
        <w:jc w:val="both"/>
        <w:rPr/>
      </w:pPr>
      <w:r>
        <w:rPr>
          <w:rFonts w:cs="Arial" w:ascii="Verdana" w:hAnsi="Verdana"/>
          <w:b/>
          <w:bCs/>
          <w:i w:val="false"/>
          <w:iCs w:val="false"/>
          <w:color w:val="000000"/>
          <w:sz w:val="20"/>
          <w:szCs w:val="20"/>
        </w:rPr>
        <w:t xml:space="preserve">- </w:t>
      </w:r>
      <w:r>
        <w:rPr>
          <w:rFonts w:eastAsia="Times New Roman" w:cs="Arial" w:ascii="Verdana" w:hAnsi="Verdana"/>
          <w:b/>
          <w:bCs/>
          <w:i w:val="false"/>
          <w:iCs w:val="false"/>
          <w:color w:val="auto"/>
          <w:kern w:val="0"/>
          <w:sz w:val="20"/>
          <w:szCs w:val="20"/>
          <w:lang w:val="pt-BR" w:eastAsia="zh-CN" w:bidi="ar-SA"/>
        </w:rPr>
        <w:t>DEPARTAMENTO DE ALMOXARIFADO CENTRAL</w:t>
      </w:r>
    </w:p>
    <w:p>
      <w:pPr>
        <w:pStyle w:val="Normal"/>
        <w:spacing w:lineRule="auto" w:line="360" w:before="113" w:after="113"/>
        <w:ind w:hanging="0" w:left="0" w:right="0"/>
        <w:jc w:val="both"/>
        <w:rPr/>
      </w:pPr>
      <w:r>
        <w:rPr>
          <w:rFonts w:eastAsia="Times New Roman" w:cs="Arial" w:ascii="Verdana" w:hAnsi="Verdana"/>
          <w:b w:val="false"/>
          <w:bCs w:val="false"/>
          <w:i w:val="false"/>
          <w:iCs w:val="false"/>
          <w:color w:val="auto"/>
          <w:kern w:val="0"/>
          <w:sz w:val="20"/>
          <w:szCs w:val="20"/>
          <w:lang w:val="pt-BR" w:eastAsia="zh-CN" w:bidi="ar-SA"/>
        </w:rPr>
        <w:t>Praça Vicente Glazar, 159 - B</w:t>
      </w:r>
      <w:r>
        <w:rPr>
          <w:rFonts w:cs="Arial" w:ascii="Verdana" w:hAnsi="Verdana"/>
          <w:b w:val="false"/>
          <w:bCs w:val="false"/>
          <w:i w:val="false"/>
          <w:iCs w:val="false"/>
          <w:color w:val="000000"/>
          <w:sz w:val="20"/>
          <w:szCs w:val="20"/>
        </w:rPr>
        <w:t>airro Glória</w:t>
      </w:r>
    </w:p>
    <w:p>
      <w:pPr>
        <w:pStyle w:val="Normal"/>
        <w:spacing w:lineRule="auto" w:line="360" w:before="113" w:after="113"/>
        <w:ind w:hanging="0" w:left="0"/>
        <w:jc w:val="both"/>
        <w:rPr/>
      </w:pPr>
      <w:r>
        <w:rPr>
          <w:rFonts w:cs="Arial" w:ascii="Verdana" w:hAnsi="Verdana"/>
          <w:b w:val="false"/>
          <w:bCs w:val="false"/>
          <w:sz w:val="20"/>
          <w:szCs w:val="20"/>
        </w:rPr>
        <w:t>São Gabriel da Palha – ES</w:t>
      </w:r>
    </w:p>
    <w:p>
      <w:pPr>
        <w:pStyle w:val="Normal"/>
        <w:spacing w:lineRule="auto" w:line="360" w:before="113" w:after="113"/>
        <w:ind w:hanging="0" w:left="0"/>
        <w:jc w:val="both"/>
        <w:rPr/>
      </w:pPr>
      <w:r>
        <w:rPr>
          <w:rFonts w:eastAsia="Times New Roman" w:cs="Arial" w:ascii="Verdana" w:hAnsi="Verdana"/>
          <w:b w:val="false"/>
          <w:bCs w:val="false"/>
          <w:color w:val="auto"/>
          <w:kern w:val="0"/>
          <w:sz w:val="20"/>
          <w:szCs w:val="20"/>
          <w:lang w:val="pt-BR" w:eastAsia="zh-CN" w:bidi="ar-SA"/>
        </w:rPr>
        <w:t>CEP 29.7800-000</w:t>
      </w:r>
    </w:p>
    <w:p>
      <w:pPr>
        <w:pStyle w:val="Normal"/>
        <w:spacing w:lineRule="auto" w:line="360" w:before="113" w:after="113"/>
        <w:ind w:hanging="0" w:left="0"/>
        <w:jc w:val="both"/>
        <w:rPr/>
      </w:pPr>
      <w:r>
        <w:rPr>
          <w:rFonts w:cs="Arial" w:ascii="Verdana" w:hAnsi="Verdana"/>
          <w:b/>
          <w:bCs/>
          <w:sz w:val="20"/>
          <w:szCs w:val="20"/>
        </w:rPr>
        <w:t>- CONTATO</w:t>
      </w:r>
    </w:p>
    <w:p>
      <w:pPr>
        <w:pStyle w:val="Normal"/>
        <w:spacing w:lineRule="auto" w:line="360" w:before="113" w:after="113"/>
        <w:ind w:hanging="0" w:left="0"/>
        <w:jc w:val="both"/>
        <w:rPr/>
      </w:pPr>
      <w:r>
        <w:rPr>
          <w:rFonts w:cs="Arial" w:ascii="Verdana" w:hAnsi="Verdana"/>
          <w:b/>
          <w:bCs/>
          <w:sz w:val="20"/>
          <w:szCs w:val="20"/>
        </w:rPr>
        <w:t>Tel:</w:t>
      </w:r>
      <w:r>
        <w:rPr>
          <w:rFonts w:cs="Arial" w:ascii="Verdana" w:hAnsi="Verdana"/>
          <w:b w:val="false"/>
          <w:bCs w:val="false"/>
          <w:sz w:val="20"/>
          <w:szCs w:val="20"/>
        </w:rPr>
        <w:t xml:space="preserve"> 27 </w:t>
      </w:r>
      <w:r>
        <w:rPr>
          <w:rFonts w:eastAsia="Times New Roman" w:cs="Arial" w:ascii="Verdana" w:hAnsi="Verdana"/>
          <w:b w:val="false"/>
          <w:bCs w:val="false"/>
          <w:color w:val="auto"/>
          <w:kern w:val="0"/>
          <w:sz w:val="20"/>
          <w:szCs w:val="20"/>
          <w:lang w:val="pt-BR" w:eastAsia="zh-CN" w:bidi="ar-SA"/>
        </w:rPr>
        <w:t>99975-6571</w:t>
      </w:r>
    </w:p>
    <w:p>
      <w:pPr>
        <w:pStyle w:val="Normal"/>
        <w:spacing w:lineRule="auto" w:line="360" w:before="113" w:after="113"/>
        <w:ind w:hanging="0" w:left="0"/>
        <w:jc w:val="both"/>
        <w:rPr/>
      </w:pPr>
      <w:r>
        <w:rPr>
          <w:rFonts w:cs="Arial" w:ascii="Verdana" w:hAnsi="Verdana"/>
          <w:b/>
          <w:bCs/>
          <w:sz w:val="20"/>
          <w:szCs w:val="20"/>
        </w:rPr>
        <w:t>Email</w:t>
      </w:r>
      <w:r>
        <w:rPr>
          <w:rFonts w:cs="Arial" w:ascii="Verdana" w:hAnsi="Verdana"/>
          <w:b w:val="false"/>
          <w:bCs w:val="false"/>
          <w:sz w:val="20"/>
          <w:szCs w:val="20"/>
        </w:rPr>
        <w:t>:</w:t>
      </w:r>
      <w:r>
        <w:rPr>
          <w:rFonts w:cs="Arial" w:ascii="Verdana" w:hAnsi="Verdana"/>
          <w:b w:val="false"/>
          <w:bCs w:val="false"/>
          <w:sz w:val="20"/>
          <w:szCs w:val="20"/>
          <w:u w:val="none"/>
        </w:rPr>
        <w:t xml:space="preserve"> </w:t>
      </w:r>
      <w:hyperlink r:id="rId2">
        <w:r>
          <w:rPr>
            <w:rStyle w:val="Hyperlink"/>
            <w:rFonts w:eastAsia="Times New Roman" w:cs="Arial" w:ascii="Verdana" w:hAnsi="Verdana"/>
            <w:b w:val="false"/>
            <w:bCs w:val="false"/>
            <w:color w:val="auto"/>
            <w:kern w:val="0"/>
            <w:sz w:val="20"/>
            <w:szCs w:val="20"/>
            <w:u w:val="none"/>
            <w:lang w:val="pt-BR" w:eastAsia="zh-CN" w:bidi="ar-SA"/>
          </w:rPr>
          <w:t>assistenciasgp@gmail.com</w:t>
        </w:r>
      </w:hyperlink>
      <w:r>
        <w:rPr>
          <w:rFonts w:eastAsia="Times New Roman" w:cs="Arial" w:ascii="Verdana" w:hAnsi="Verdana"/>
          <w:b w:val="false"/>
          <w:bCs w:val="false"/>
          <w:color w:val="auto"/>
          <w:kern w:val="0"/>
          <w:sz w:val="20"/>
          <w:szCs w:val="20"/>
          <w:u w:val="none"/>
          <w:lang w:val="pt-BR" w:eastAsia="zh-CN" w:bidi="ar-SA"/>
        </w:rPr>
        <w:t xml:space="preserve"> </w:t>
      </w:r>
    </w:p>
    <w:p>
      <w:pPr>
        <w:pStyle w:val="Normal"/>
        <w:spacing w:lineRule="auto" w:line="360" w:before="113" w:after="113"/>
        <w:ind w:hanging="0" w:left="0" w:right="0"/>
        <w:jc w:val="both"/>
        <w:rPr/>
      </w:pPr>
      <w:r>
        <w:rPr>
          <w:rFonts w:eastAsia="Times New Roman" w:cs="Arial" w:ascii="Verdana" w:hAnsi="Verdana"/>
          <w:b/>
          <w:bCs/>
          <w:i w:val="false"/>
          <w:iCs w:val="false"/>
          <w:color w:val="auto"/>
          <w:kern w:val="0"/>
          <w:sz w:val="20"/>
          <w:szCs w:val="20"/>
          <w:lang w:val="pt-BR" w:eastAsia="zh-CN" w:bidi="ar-SA"/>
        </w:rPr>
        <w:t>Responsável</w:t>
      </w:r>
      <w:r>
        <w:rPr>
          <w:rFonts w:eastAsia="Times New Roman" w:cs="Arial" w:ascii="Verdana" w:hAnsi="Verdana"/>
          <w:b w:val="false"/>
          <w:bCs w:val="false"/>
          <w:i w:val="false"/>
          <w:iCs w:val="false"/>
          <w:color w:val="auto"/>
          <w:kern w:val="0"/>
          <w:sz w:val="20"/>
          <w:szCs w:val="20"/>
          <w:lang w:val="pt-BR" w:eastAsia="zh-CN" w:bidi="ar-SA"/>
        </w:rPr>
        <w:t xml:space="preserve">: Secretaria Municipal de Assistência, Desenvolvimento Social e Família </w:t>
      </w:r>
      <w:bookmarkStart w:id="1" w:name="page66R_mcid13"/>
    </w:p>
    <w:p>
      <w:pPr>
        <w:pStyle w:val="Normal"/>
        <w:spacing w:lineRule="auto" w:line="360" w:before="113" w:after="113"/>
        <w:ind w:hanging="0" w:left="0" w:right="0"/>
        <w:jc w:val="both"/>
        <w:rPr/>
      </w:pPr>
      <w:r>
        <w:rPr>
          <w:rFonts w:cs="Arial" w:ascii="Verdana" w:hAnsi="Verdana"/>
          <w:b w:val="false"/>
          <w:bCs w:val="false"/>
          <w:i w:val="false"/>
          <w:iCs w:val="false"/>
          <w:color w:val="000000"/>
          <w:sz w:val="20"/>
          <w:szCs w:val="20"/>
        </w:rPr>
        <w:t>6.3. O prazo de validade na data da entrega não poderá ser inferior à metade do prazo total recomendado pelo fabricante.</w:t>
      </w:r>
    </w:p>
    <w:p>
      <w:pPr>
        <w:pStyle w:val="Normal"/>
        <w:spacing w:lineRule="auto" w:line="360" w:before="113" w:after="113"/>
        <w:ind w:hanging="0" w:left="0" w:right="0"/>
        <w:jc w:val="both"/>
        <w:rPr/>
      </w:pPr>
      <w:r>
        <w:rPr>
          <w:rFonts w:cs="Arial" w:ascii="Verdana" w:hAnsi="Verdana"/>
          <w:b w:val="false"/>
          <w:bCs w:val="false"/>
          <w:i w:val="false"/>
          <w:iCs w:val="false"/>
          <w:color w:val="000000"/>
          <w:sz w:val="20"/>
          <w:szCs w:val="20"/>
        </w:rPr>
        <w:t>6.4. Os itens serão recebidos provisoriamente no prazo de 05 (cinco) dias, pelo (a) responsável pelo acompanhamento e fiscalização do almoxarifado, para efeito de posterior verificação de sua conformidade com as especificações constantes neste Termo de Referência e na proposta.</w:t>
      </w:r>
    </w:p>
    <w:p>
      <w:pPr>
        <w:pStyle w:val="Normal"/>
        <w:spacing w:lineRule="auto" w:line="360" w:before="113" w:after="113"/>
        <w:ind w:hanging="0" w:left="0" w:right="0"/>
        <w:jc w:val="both"/>
        <w:rPr/>
      </w:pPr>
      <w:r>
        <w:rPr>
          <w:rFonts w:cs="Arial" w:ascii="Verdana" w:hAnsi="Verdana"/>
          <w:b w:val="false"/>
          <w:bCs w:val="false"/>
          <w:i w:val="false"/>
          <w:iCs w:val="false"/>
          <w:color w:val="000000"/>
          <w:sz w:val="20"/>
          <w:szCs w:val="20"/>
        </w:rPr>
        <w:t xml:space="preserve">6.5. Os </w:t>
      </w:r>
      <w:r>
        <w:rPr>
          <w:rFonts w:eastAsia="Times New Roman" w:cs="Arial" w:ascii="Verdana" w:hAnsi="Verdana"/>
          <w:b w:val="false"/>
          <w:bCs w:val="false"/>
          <w:i w:val="false"/>
          <w:iCs w:val="false"/>
          <w:color w:val="000000"/>
          <w:sz w:val="20"/>
          <w:szCs w:val="20"/>
        </w:rPr>
        <w:t>itens</w:t>
      </w:r>
      <w:r>
        <w:rPr>
          <w:rFonts w:cs="Arial" w:ascii="Verdana" w:hAnsi="Verdana"/>
          <w:b w:val="false"/>
          <w:bCs w:val="false"/>
          <w:i w:val="false"/>
          <w:iCs w:val="false"/>
          <w:color w:val="000000"/>
          <w:sz w:val="20"/>
          <w:szCs w:val="20"/>
        </w:rPr>
        <w:t xml:space="preserve"> poderão ser rejeitados, no todo ou em parte, quando em desacordo com as especificações constantes neste Termo de Referência e na proposta, devendo ser substituídos no prazo de 48h (quarenta e oito horas), a contar da notificação da contratada, às suas custas, sem prejuízo da aplicação das penalidades.</w:t>
      </w:r>
    </w:p>
    <w:p>
      <w:pPr>
        <w:pStyle w:val="Normal"/>
        <w:spacing w:lineRule="auto" w:line="360" w:before="113" w:after="113"/>
        <w:ind w:hanging="0" w:left="0" w:right="0"/>
        <w:jc w:val="both"/>
        <w:rPr/>
      </w:pPr>
      <w:r>
        <w:rPr>
          <w:rFonts w:cs="Arial" w:ascii="Verdana" w:hAnsi="Verdana"/>
          <w:b w:val="false"/>
          <w:bCs w:val="false"/>
          <w:i w:val="false"/>
          <w:iCs w:val="false"/>
          <w:color w:val="000000"/>
          <w:sz w:val="20"/>
          <w:szCs w:val="20"/>
        </w:rPr>
        <w:t xml:space="preserve">6.6. </w:t>
      </w:r>
      <w:r>
        <w:rPr>
          <w:rFonts w:cs="Arial" w:ascii="Verdana" w:hAnsi="Verdana"/>
          <w:i w:val="false"/>
          <w:iCs w:val="false"/>
          <w:color w:val="000000"/>
          <w:sz w:val="20"/>
          <w:szCs w:val="20"/>
        </w:rPr>
        <w:t>O recebimento provisório ou definitivo do objeto não exclui a responsabilidade da contratada pelos prejuízos resultantes da incorreta execução do contrato.</w:t>
      </w:r>
    </w:p>
    <w:p>
      <w:pPr>
        <w:pStyle w:val="Normal"/>
        <w:spacing w:lineRule="auto" w:line="240" w:before="113" w:after="113"/>
        <w:ind w:hanging="0" w:left="0" w:right="0"/>
        <w:jc w:val="both"/>
        <w:rPr>
          <w:rFonts w:ascii="Verdana" w:hAnsi="Verdana" w:cs="Arial"/>
          <w:i w:val="false"/>
          <w:i w:val="false"/>
          <w:iCs w:val="false"/>
          <w:color w:val="000000"/>
          <w:sz w:val="20"/>
          <w:szCs w:val="20"/>
        </w:rPr>
      </w:pPr>
      <w:r>
        <w:rPr>
          <w:rFonts w:cs="Arial" w:ascii="Verdana" w:hAnsi="Verdana"/>
          <w:i w:val="false"/>
          <w:iCs w:val="false"/>
          <w:color w:val="000000"/>
          <w:sz w:val="20"/>
          <w:szCs w:val="20"/>
        </w:rPr>
      </w:r>
    </w:p>
    <w:p>
      <w:pPr>
        <w:pStyle w:val="Normal"/>
        <w:spacing w:lineRule="auto" w:line="360" w:before="113" w:after="113"/>
        <w:ind w:hanging="0" w:left="0" w:right="0"/>
        <w:jc w:val="both"/>
        <w:rPr/>
      </w:pPr>
      <w:r>
        <w:rPr>
          <w:rFonts w:cs="Arial" w:ascii="Verdana" w:hAnsi="Verdana"/>
          <w:b/>
          <w:bCs/>
          <w:i w:val="false"/>
          <w:iCs w:val="false"/>
          <w:color w:val="000000"/>
          <w:sz w:val="20"/>
          <w:szCs w:val="20"/>
        </w:rPr>
        <w:t>7. OBRIGAÇÕES DA CONTRATANTE</w:t>
      </w:r>
    </w:p>
    <w:p>
      <w:pPr>
        <w:pStyle w:val="Normal"/>
        <w:spacing w:lineRule="auto" w:line="360" w:before="113" w:after="113"/>
        <w:ind w:hanging="0" w:left="0" w:right="0"/>
        <w:jc w:val="both"/>
        <w:rPr/>
      </w:pPr>
      <w:r>
        <w:rPr>
          <w:rFonts w:eastAsia="Times New Roman" w:cs="Arial" w:ascii="Verdana" w:hAnsi="Verdana"/>
          <w:b w:val="false"/>
          <w:bCs w:val="false"/>
          <w:i w:val="false"/>
          <w:iCs w:val="false"/>
          <w:color w:val="000000"/>
          <w:sz w:val="20"/>
          <w:szCs w:val="20"/>
        </w:rPr>
        <w:t>7.1.</w:t>
      </w:r>
      <w:r>
        <w:rPr>
          <w:rFonts w:cs="Arial" w:ascii="Verdana" w:hAnsi="Verdana"/>
          <w:b w:val="false"/>
          <w:bCs w:val="false"/>
          <w:i w:val="false"/>
          <w:iCs w:val="false"/>
          <w:color w:val="000000"/>
          <w:sz w:val="20"/>
          <w:szCs w:val="20"/>
        </w:rPr>
        <w:t xml:space="preserve"> Receber os objetos no prazo e condições estabelecidas neste Termo de Referência e seus anexos.</w:t>
      </w:r>
    </w:p>
    <w:p>
      <w:pPr>
        <w:pStyle w:val="Normal"/>
        <w:spacing w:lineRule="auto" w:line="360" w:before="113" w:after="113"/>
        <w:ind w:hanging="0" w:left="0" w:right="0"/>
        <w:jc w:val="both"/>
        <w:rPr/>
      </w:pPr>
      <w:r>
        <w:rPr>
          <w:rFonts w:cs="Arial" w:ascii="Verdana" w:hAnsi="Verdana"/>
          <w:b w:val="false"/>
          <w:bCs w:val="false"/>
          <w:i w:val="false"/>
          <w:iCs w:val="false"/>
          <w:color w:val="000000"/>
          <w:sz w:val="20"/>
          <w:szCs w:val="20"/>
        </w:rPr>
        <w:t>7.2. Verificar minuciosamente, no prazo fixado, a conformidade dos bens recebidos provisoriamente com as especificações constantes neste Termo de Referência e da proposta, para fins de aceitação e recebimento definitivo.</w:t>
      </w:r>
      <w:bookmarkStart w:id="2" w:name="page68R_mcid1"/>
    </w:p>
    <w:p>
      <w:pPr>
        <w:pStyle w:val="Normal"/>
        <w:spacing w:lineRule="auto" w:line="360" w:before="113" w:after="113"/>
        <w:ind w:hanging="0" w:left="0" w:right="0"/>
        <w:jc w:val="both"/>
        <w:rPr/>
      </w:pPr>
      <w:r>
        <w:rPr>
          <w:rFonts w:cs="Arial" w:ascii="Verdana" w:hAnsi="Verdana"/>
          <w:b w:val="false"/>
          <w:bCs w:val="false"/>
          <w:i w:val="false"/>
          <w:iCs w:val="false"/>
          <w:color w:val="000000"/>
          <w:sz w:val="20"/>
          <w:szCs w:val="20"/>
        </w:rPr>
        <w:t>7.3. Comunicar à Contratada, por escrito, sobre imperfeições, falhas ou irregularidades verificadas no objeto fornecido, para que seja substituído, reparado ou corrigido.</w:t>
      </w:r>
    </w:p>
    <w:p>
      <w:pPr>
        <w:pStyle w:val="Normal"/>
        <w:spacing w:lineRule="auto" w:line="360" w:before="113" w:after="113"/>
        <w:ind w:hanging="0" w:left="0" w:right="0"/>
        <w:jc w:val="both"/>
        <w:rPr/>
      </w:pPr>
      <w:r>
        <w:rPr>
          <w:rFonts w:cs="Arial" w:ascii="Verdana" w:hAnsi="Verdana"/>
          <w:b w:val="false"/>
          <w:bCs w:val="false"/>
          <w:i w:val="false"/>
          <w:iCs w:val="false"/>
          <w:color w:val="000000"/>
          <w:sz w:val="20"/>
          <w:szCs w:val="20"/>
        </w:rPr>
        <w:t>7.4. Acompanhar e fiscalizar o cumprimento das obrigações da Contratada, através de comissão/servidor especialmente designado.</w:t>
      </w:r>
    </w:p>
    <w:p>
      <w:pPr>
        <w:pStyle w:val="Normal"/>
        <w:spacing w:lineRule="auto" w:line="360" w:before="113" w:after="113"/>
        <w:ind w:hanging="0" w:left="0" w:right="0"/>
        <w:jc w:val="both"/>
        <w:rPr/>
      </w:pPr>
      <w:r>
        <w:rPr>
          <w:rFonts w:cs="Arial" w:ascii="Verdana" w:hAnsi="Verdana"/>
          <w:b w:val="false"/>
          <w:bCs w:val="false"/>
          <w:i w:val="false"/>
          <w:iCs w:val="false"/>
          <w:color w:val="000000"/>
          <w:sz w:val="20"/>
          <w:szCs w:val="20"/>
        </w:rPr>
        <w:t>7.5. Efetuar o pagamento à Contratada no valor correspondente ao fornecimento dos objetos, no prazo e forma estabelecidos neste TR e seus anexos.</w:t>
      </w:r>
    </w:p>
    <w:p>
      <w:pPr>
        <w:pStyle w:val="Normal"/>
        <w:spacing w:lineRule="auto" w:line="360" w:before="113" w:after="113"/>
        <w:ind w:hanging="0" w:left="0" w:right="0"/>
        <w:jc w:val="both"/>
        <w:rPr/>
      </w:pPr>
      <w:r>
        <w:rPr>
          <w:rFonts w:eastAsia="Times New Roman" w:cs="Arial" w:ascii="Verdana" w:hAnsi="Verdana"/>
          <w:b w:val="false"/>
          <w:bCs w:val="false"/>
          <w:i w:val="false"/>
          <w:iCs w:val="false"/>
          <w:color w:val="000000"/>
          <w:sz w:val="20"/>
          <w:szCs w:val="20"/>
        </w:rPr>
        <w:t xml:space="preserve">7.6. </w:t>
      </w:r>
      <w:r>
        <w:rPr>
          <w:rFonts w:cs="Arial" w:ascii="Verdana" w:hAnsi="Verdana"/>
          <w:b w:val="false"/>
          <w:bCs w:val="false"/>
          <w:i w:val="false"/>
          <w:iCs w:val="false"/>
          <w:color w:val="000000"/>
          <w:sz w:val="20"/>
          <w:szCs w:val="20"/>
        </w:rPr>
        <w:t xml:space="preserve">A Administração não responderá por quaisquer compromissos assumidos pela Contratada com terceiros, ainda que vinculados à execução </w:t>
      </w:r>
      <w:r>
        <w:rPr>
          <w:rFonts w:eastAsia="Times New Roman" w:cs="Arial" w:ascii="Verdana" w:hAnsi="Verdana"/>
          <w:b w:val="false"/>
          <w:bCs w:val="false"/>
          <w:i w:val="false"/>
          <w:iCs w:val="false"/>
          <w:color w:val="000000"/>
          <w:sz w:val="20"/>
          <w:szCs w:val="20"/>
        </w:rPr>
        <w:t>dos autos</w:t>
      </w:r>
      <w:r>
        <w:rPr>
          <w:rFonts w:cs="Arial" w:ascii="Verdana" w:hAnsi="Verdana"/>
          <w:b w:val="false"/>
          <w:bCs w:val="false"/>
          <w:i w:val="false"/>
          <w:iCs w:val="false"/>
          <w:color w:val="000000"/>
          <w:sz w:val="20"/>
          <w:szCs w:val="20"/>
        </w:rPr>
        <w:t>, bem como por qualquer dano causado a terceiros em decorrência de ato da Contratada, de seus empregados, prepostos ou subordinados.</w:t>
      </w:r>
    </w:p>
    <w:p>
      <w:pPr>
        <w:pStyle w:val="Normal"/>
        <w:spacing w:lineRule="auto" w:line="240" w:before="113" w:after="113"/>
        <w:ind w:hanging="0" w:left="0" w:right="0"/>
        <w:jc w:val="both"/>
        <w:rPr>
          <w:rFonts w:ascii="Verdana" w:hAnsi="Verdana" w:cs="Arial"/>
          <w:b/>
          <w:bCs/>
          <w:color w:val="000000"/>
          <w:sz w:val="20"/>
          <w:szCs w:val="20"/>
        </w:rPr>
      </w:pPr>
      <w:r>
        <w:rPr>
          <w:rFonts w:cs="Arial" w:ascii="Verdana" w:hAnsi="Verdana"/>
          <w:b/>
          <w:bCs/>
          <w:color w:val="000000"/>
          <w:sz w:val="20"/>
          <w:szCs w:val="20"/>
        </w:rPr>
      </w:r>
    </w:p>
    <w:p>
      <w:pPr>
        <w:pStyle w:val="Normal"/>
        <w:spacing w:lineRule="auto" w:line="360" w:before="113" w:after="113"/>
        <w:ind w:hanging="0" w:left="0" w:right="0"/>
        <w:jc w:val="both"/>
        <w:rPr/>
      </w:pPr>
      <w:r>
        <w:rPr>
          <w:rFonts w:cs="Arial" w:ascii="Verdana" w:hAnsi="Verdana"/>
          <w:b/>
          <w:bCs/>
          <w:i w:val="false"/>
          <w:iCs w:val="false"/>
          <w:color w:val="000000"/>
          <w:sz w:val="20"/>
          <w:szCs w:val="20"/>
        </w:rPr>
        <w:t>8. OBRIGAÇÕES DA CONTRATADA</w:t>
      </w:r>
    </w:p>
    <w:p>
      <w:pPr>
        <w:pStyle w:val="Normal"/>
        <w:spacing w:lineRule="auto" w:line="360" w:before="113" w:after="113"/>
        <w:ind w:hanging="0" w:left="0" w:right="0"/>
        <w:jc w:val="both"/>
        <w:rPr/>
      </w:pPr>
      <w:r>
        <w:rPr>
          <w:rFonts w:cs="Arial" w:ascii="Verdana" w:hAnsi="Verdana"/>
          <w:b w:val="false"/>
          <w:bCs w:val="false"/>
          <w:i w:val="false"/>
          <w:iCs w:val="false"/>
          <w:color w:val="000000"/>
          <w:sz w:val="20"/>
          <w:szCs w:val="20"/>
        </w:rPr>
        <w:t>8.1. A Contratada deve cumprir todas as obrigações constantes neste TR, seus anexos e sua proposta, assumindo como exclusivamente seus os riscos e as despesas decorrentes da boa e perfeita execução do objeto.</w:t>
      </w:r>
    </w:p>
    <w:p>
      <w:pPr>
        <w:pStyle w:val="Normal"/>
        <w:spacing w:lineRule="auto" w:line="360" w:before="113" w:after="113"/>
        <w:ind w:hanging="0" w:left="0" w:right="0"/>
        <w:jc w:val="both"/>
        <w:rPr/>
      </w:pPr>
      <w:r>
        <w:rPr>
          <w:rFonts w:cs="Arial" w:ascii="Verdana" w:hAnsi="Verdana"/>
          <w:b w:val="false"/>
          <w:bCs w:val="false"/>
          <w:i w:val="false"/>
          <w:iCs w:val="false"/>
          <w:color w:val="000000"/>
          <w:sz w:val="20"/>
          <w:szCs w:val="20"/>
        </w:rPr>
        <w:t>8.2. Efetuar a entrega do objeto em perfeitas condições, conforme especificações, prazo e local constantes no Termo de Referência e seus anexos, acompanhado da respectiva nota fiscal, na qual constarão as indicações referentes a: marca, fabricante, modelo, procedência e prazo de validade.</w:t>
      </w:r>
    </w:p>
    <w:p>
      <w:pPr>
        <w:pStyle w:val="Normal"/>
        <w:spacing w:lineRule="auto" w:line="360" w:before="113" w:after="113"/>
        <w:ind w:hanging="0" w:left="0" w:right="0"/>
        <w:jc w:val="both"/>
        <w:rPr/>
      </w:pPr>
      <w:r>
        <w:rPr>
          <w:rFonts w:cs="Arial" w:ascii="Verdana" w:hAnsi="Verdana"/>
          <w:b w:val="false"/>
          <w:bCs w:val="false"/>
          <w:i w:val="false"/>
          <w:iCs w:val="false"/>
          <w:color w:val="000000"/>
          <w:sz w:val="20"/>
          <w:szCs w:val="20"/>
        </w:rPr>
        <w:t>8.3. Responsabilizar-se pelos vícios e danos decorrentes do objeto, de acordo com os artigos 12, 13 e 17 a 27, do Código de Defesa do Consumidor (Lei nº 8.078, de 1990).</w:t>
      </w:r>
    </w:p>
    <w:p>
      <w:pPr>
        <w:pStyle w:val="Normal"/>
        <w:spacing w:lineRule="auto" w:line="360" w:before="113" w:after="113"/>
        <w:ind w:hanging="0" w:left="0" w:right="0"/>
        <w:jc w:val="both"/>
        <w:rPr/>
      </w:pPr>
      <w:r>
        <w:rPr>
          <w:rFonts w:cs="Arial" w:ascii="Verdana" w:hAnsi="Verdana"/>
          <w:b w:val="false"/>
          <w:bCs w:val="false"/>
          <w:i w:val="false"/>
          <w:iCs w:val="false"/>
          <w:color w:val="000000"/>
          <w:sz w:val="20"/>
          <w:szCs w:val="20"/>
        </w:rPr>
        <w:t>8.4. Substituir, reparar ou corrigir, às suas expensas, no prazo fixado neste Termo de Referência, o objeto com avarias ou defeitos.</w:t>
      </w:r>
    </w:p>
    <w:p>
      <w:pPr>
        <w:pStyle w:val="Normal"/>
        <w:spacing w:lineRule="auto" w:line="360" w:before="113" w:after="113"/>
        <w:ind w:hanging="0" w:left="0" w:right="0"/>
        <w:jc w:val="both"/>
        <w:rPr/>
      </w:pPr>
      <w:r>
        <w:rPr>
          <w:rFonts w:eastAsia="Times New Roman" w:cs="Arial" w:ascii="Verdana" w:hAnsi="Verdana"/>
          <w:b w:val="false"/>
          <w:bCs w:val="false"/>
          <w:i w:val="false"/>
          <w:iCs w:val="false"/>
          <w:color w:val="000000"/>
          <w:sz w:val="20"/>
          <w:szCs w:val="20"/>
        </w:rPr>
        <w:t xml:space="preserve">8.5. </w:t>
      </w:r>
      <w:r>
        <w:rPr>
          <w:rFonts w:cs="Arial" w:ascii="Verdana" w:hAnsi="Verdana"/>
          <w:b w:val="false"/>
          <w:bCs w:val="false"/>
          <w:i w:val="false"/>
          <w:iCs w:val="false"/>
          <w:color w:val="000000"/>
          <w:sz w:val="20"/>
          <w:szCs w:val="20"/>
        </w:rPr>
        <w:t>Comunicar à Contratante, no prazo máximo de 24 (vinte e quatro) horas que antecede a data da entrega, os motivos que impossibilitem o cumprimento do prazo previsto, com a devida comprovação.</w:t>
      </w:r>
    </w:p>
    <w:p>
      <w:pPr>
        <w:pStyle w:val="Normal"/>
        <w:spacing w:lineRule="auto" w:line="360" w:before="113" w:after="113"/>
        <w:ind w:hanging="0" w:left="0" w:right="0"/>
        <w:jc w:val="both"/>
        <w:rPr/>
      </w:pPr>
      <w:r>
        <w:rPr>
          <w:rFonts w:eastAsia="Times New Roman" w:cs="Arial" w:ascii="Verdana" w:hAnsi="Verdana"/>
          <w:b w:val="false"/>
          <w:bCs w:val="false"/>
          <w:i w:val="false"/>
          <w:iCs w:val="false"/>
          <w:color w:val="000000"/>
          <w:sz w:val="20"/>
          <w:szCs w:val="20"/>
        </w:rPr>
        <w:t xml:space="preserve">8.6. </w:t>
      </w:r>
      <w:r>
        <w:rPr>
          <w:rFonts w:cs="Arial" w:ascii="Verdana" w:hAnsi="Verdana"/>
          <w:b w:val="false"/>
          <w:bCs w:val="false"/>
          <w:i w:val="false"/>
          <w:iCs w:val="false"/>
          <w:color w:val="000000"/>
          <w:sz w:val="20"/>
          <w:szCs w:val="20"/>
        </w:rPr>
        <w:t>Manter, durante toda a execução d</w:t>
      </w:r>
      <w:r>
        <w:rPr>
          <w:rFonts w:eastAsia="Times New Roman" w:cs="Arial" w:ascii="Verdana" w:hAnsi="Verdana"/>
          <w:b w:val="false"/>
          <w:bCs w:val="false"/>
          <w:i w:val="false"/>
          <w:iCs w:val="false"/>
          <w:color w:val="000000"/>
          <w:sz w:val="20"/>
          <w:szCs w:val="20"/>
        </w:rPr>
        <w:t>o contrato</w:t>
      </w:r>
      <w:r>
        <w:rPr>
          <w:rFonts w:cs="Arial" w:ascii="Verdana" w:hAnsi="Verdana"/>
          <w:b w:val="false"/>
          <w:bCs w:val="false"/>
          <w:i w:val="false"/>
          <w:iCs w:val="false"/>
          <w:color w:val="000000"/>
          <w:sz w:val="20"/>
          <w:szCs w:val="20"/>
        </w:rPr>
        <w:t>, em compatibilidade com as obrigações assumidas, todas as condições de habilitação e qualificação exigidas na licitação.</w:t>
      </w:r>
    </w:p>
    <w:p>
      <w:pPr>
        <w:pStyle w:val="Normal"/>
        <w:tabs>
          <w:tab w:val="clear" w:pos="708"/>
          <w:tab w:val="left" w:pos="0" w:leader="none"/>
        </w:tabs>
        <w:spacing w:lineRule="auto" w:line="360" w:before="113" w:after="113"/>
        <w:ind w:hanging="0" w:left="0" w:right="0"/>
        <w:jc w:val="both"/>
        <w:rPr/>
      </w:pPr>
      <w:r>
        <w:rPr>
          <w:rFonts w:eastAsia="Times New Roman" w:cs="Arial" w:ascii="Verdana" w:hAnsi="Verdana"/>
          <w:b w:val="false"/>
          <w:bCs w:val="false"/>
          <w:i w:val="false"/>
          <w:iCs w:val="false"/>
          <w:color w:val="000000"/>
          <w:sz w:val="20"/>
          <w:szCs w:val="20"/>
        </w:rPr>
        <w:t xml:space="preserve">8.7. </w:t>
      </w:r>
      <w:r>
        <w:rPr>
          <w:rFonts w:cs="Arial" w:ascii="Verdana" w:hAnsi="Verdana"/>
          <w:b w:val="false"/>
          <w:bCs w:val="false"/>
          <w:i w:val="false"/>
          <w:iCs w:val="false"/>
          <w:color w:val="000000"/>
          <w:sz w:val="20"/>
          <w:szCs w:val="20"/>
        </w:rPr>
        <w:t>Indicar preposto para representá-la durante a execução da ata de registro de preços.</w:t>
      </w:r>
    </w:p>
    <w:p>
      <w:pPr>
        <w:pStyle w:val="Normal"/>
        <w:tabs>
          <w:tab w:val="clear" w:pos="708"/>
          <w:tab w:val="left" w:pos="0" w:leader="none"/>
        </w:tabs>
        <w:spacing w:lineRule="auto" w:line="360" w:before="113" w:after="113"/>
        <w:ind w:hanging="0" w:left="0" w:right="0"/>
        <w:jc w:val="both"/>
        <w:rPr/>
      </w:pPr>
      <w:r>
        <w:rPr>
          <w:rFonts w:eastAsia="Times New Roman" w:cs="Arial" w:ascii="Verdana" w:hAnsi="Verdana"/>
          <w:b w:val="false"/>
          <w:bCs w:val="false"/>
          <w:i w:val="false"/>
          <w:iCs w:val="false"/>
          <w:color w:val="000000"/>
          <w:sz w:val="20"/>
          <w:szCs w:val="20"/>
        </w:rPr>
        <w:t xml:space="preserve">8.8. </w:t>
      </w:r>
      <w:r>
        <w:rPr>
          <w:rFonts w:cs="Arial" w:ascii="Verdana" w:hAnsi="Verdana"/>
          <w:b w:val="false"/>
          <w:bCs w:val="false"/>
          <w:i w:val="false"/>
          <w:iCs w:val="false"/>
          <w:color w:val="000000"/>
          <w:sz w:val="20"/>
          <w:szCs w:val="20"/>
        </w:rPr>
        <w:t>A CONTRATADA será responsável pela observância das leis, decretos, regulamentos, portarias e normas federais, estaduais e municipais direta e indiretamente aplicáveis ao objeto do contrato.</w:t>
      </w:r>
    </w:p>
    <w:p>
      <w:pPr>
        <w:pStyle w:val="Normal"/>
        <w:tabs>
          <w:tab w:val="clear" w:pos="708"/>
          <w:tab w:val="left" w:pos="0" w:leader="none"/>
        </w:tabs>
        <w:spacing w:lineRule="auto" w:line="360" w:before="113" w:after="113"/>
        <w:ind w:hanging="0" w:left="0" w:right="0"/>
        <w:jc w:val="both"/>
        <w:rPr/>
      </w:pPr>
      <w:r>
        <w:rPr>
          <w:rFonts w:cs="Arial" w:ascii="Verdana" w:hAnsi="Verdana"/>
          <w:b w:val="false"/>
          <w:bCs w:val="false"/>
          <w:i w:val="false"/>
          <w:iCs w:val="false"/>
          <w:color w:val="000000"/>
          <w:sz w:val="20"/>
          <w:szCs w:val="20"/>
        </w:rPr>
        <w:t>8.9.Durante a execução da ata de registro de preços, a CONTRATADA deverá:</w:t>
      </w:r>
      <w:r>
        <w:rPr>
          <w:rFonts w:ascii="Verdana" w:hAnsi="Verdana"/>
          <w:b w:val="false"/>
          <w:bCs w:val="false"/>
          <w:sz w:val="20"/>
          <w:szCs w:val="20"/>
        </w:rPr>
        <w:br/>
      </w:r>
      <w:r>
        <w:rPr>
          <w:rFonts w:eastAsia="Times New Roman" w:cs="Arial" w:ascii="Verdana" w:hAnsi="Verdana"/>
          <w:b w:val="false"/>
          <w:bCs w:val="false"/>
          <w:i w:val="false"/>
          <w:iCs w:val="false"/>
          <w:color w:val="000000"/>
          <w:sz w:val="20"/>
          <w:szCs w:val="20"/>
        </w:rPr>
        <w:t>8.9.1.</w:t>
      </w:r>
      <w:r>
        <w:rPr>
          <w:rFonts w:cs="Arial" w:ascii="Verdana" w:hAnsi="Verdana"/>
          <w:b w:val="false"/>
          <w:bCs w:val="false"/>
          <w:i w:val="false"/>
          <w:iCs w:val="false"/>
          <w:color w:val="000000"/>
          <w:sz w:val="20"/>
          <w:szCs w:val="20"/>
        </w:rPr>
        <w:t xml:space="preserve"> Atender prontamente às solicitações </w:t>
      </w:r>
      <w:r>
        <w:rPr>
          <w:rFonts w:eastAsia="Times New Roman" w:cs="Arial" w:ascii="Verdana" w:hAnsi="Verdana"/>
          <w:b w:val="false"/>
          <w:bCs w:val="false"/>
          <w:i w:val="false"/>
          <w:iCs w:val="false"/>
          <w:color w:val="000000"/>
          <w:kern w:val="0"/>
          <w:sz w:val="20"/>
          <w:szCs w:val="20"/>
          <w:lang w:val="pt-BR" w:eastAsia="pt-BR" w:bidi="ar-SA"/>
        </w:rPr>
        <w:t>da requerente</w:t>
      </w:r>
      <w:r>
        <w:rPr>
          <w:rFonts w:cs="Arial" w:ascii="Verdana" w:hAnsi="Verdana"/>
          <w:b w:val="false"/>
          <w:bCs w:val="false"/>
          <w:i w:val="false"/>
          <w:iCs w:val="false"/>
          <w:color w:val="000000"/>
          <w:sz w:val="20"/>
          <w:szCs w:val="20"/>
        </w:rPr>
        <w:t>, no fornecimento dos gêneros alimentícios</w:t>
      </w:r>
      <w:r>
        <w:rPr>
          <w:rFonts w:eastAsia="Times New Roman" w:cs="Arial" w:ascii="Verdana" w:hAnsi="Verdana"/>
          <w:b w:val="false"/>
          <w:bCs w:val="false"/>
          <w:i w:val="false"/>
          <w:iCs w:val="false"/>
          <w:color w:val="000000"/>
          <w:kern w:val="0"/>
          <w:sz w:val="20"/>
          <w:szCs w:val="20"/>
          <w:lang w:val="pt-BR" w:eastAsia="pt-BR" w:bidi="ar-SA"/>
        </w:rPr>
        <w:t>,</w:t>
      </w:r>
      <w:r>
        <w:rPr>
          <w:rFonts w:cs="Arial" w:ascii="Verdana" w:hAnsi="Verdana"/>
          <w:b w:val="false"/>
          <w:bCs w:val="false"/>
          <w:i w:val="false"/>
          <w:iCs w:val="false"/>
          <w:color w:val="000000"/>
          <w:sz w:val="20"/>
          <w:szCs w:val="20"/>
        </w:rPr>
        <w:t xml:space="preserve"> nas quantidades e especificações deste TERMO DE REFERÊNCIA.</w:t>
      </w:r>
      <w:bookmarkStart w:id="3" w:name="page68R_mcid17"/>
    </w:p>
    <w:p>
      <w:pPr>
        <w:pStyle w:val="Normal"/>
        <w:tabs>
          <w:tab w:val="clear" w:pos="708"/>
          <w:tab w:val="left" w:pos="0" w:leader="none"/>
        </w:tabs>
        <w:spacing w:lineRule="auto" w:line="360" w:before="113" w:after="113"/>
        <w:ind w:hanging="0" w:left="0" w:right="0"/>
        <w:jc w:val="both"/>
        <w:rPr/>
      </w:pPr>
      <w:r>
        <w:rPr>
          <w:rFonts w:eastAsia="Times New Roman" w:cs="Arial" w:ascii="Verdana" w:hAnsi="Verdana"/>
          <w:b w:val="false"/>
          <w:bCs w:val="false"/>
          <w:i w:val="false"/>
          <w:iCs w:val="false"/>
          <w:color w:val="000000"/>
          <w:sz w:val="20"/>
          <w:szCs w:val="20"/>
        </w:rPr>
        <w:t>8.9.</w:t>
      </w:r>
      <w:r>
        <w:rPr>
          <w:rFonts w:cs="Arial" w:ascii="Verdana" w:hAnsi="Verdana"/>
          <w:b w:val="false"/>
          <w:bCs w:val="false"/>
          <w:i w:val="false"/>
          <w:iCs w:val="false"/>
          <w:color w:val="000000"/>
          <w:sz w:val="20"/>
          <w:szCs w:val="20"/>
        </w:rPr>
        <w:t>2. A nota fiscal deverá ser acompanhada pelas Certidões de Regularidades Fiscais.</w:t>
      </w:r>
      <w:r>
        <w:rPr>
          <w:rFonts w:ascii="Verdana" w:hAnsi="Verdana"/>
          <w:b w:val="false"/>
          <w:bCs w:val="false"/>
          <w:sz w:val="20"/>
          <w:szCs w:val="20"/>
        </w:rPr>
        <w:br/>
      </w:r>
      <w:r>
        <w:rPr>
          <w:rFonts w:eastAsia="Times New Roman" w:cs="Arial" w:ascii="Verdana" w:hAnsi="Verdana"/>
          <w:b w:val="false"/>
          <w:bCs w:val="false"/>
          <w:i w:val="false"/>
          <w:iCs w:val="false"/>
          <w:color w:val="000000"/>
          <w:sz w:val="20"/>
          <w:szCs w:val="20"/>
        </w:rPr>
        <w:t xml:space="preserve">8.9.3. </w:t>
      </w:r>
      <w:r>
        <w:rPr>
          <w:rFonts w:cs="Arial" w:ascii="Verdana" w:hAnsi="Verdana"/>
          <w:b w:val="false"/>
          <w:bCs w:val="false"/>
          <w:i w:val="false"/>
          <w:iCs w:val="false"/>
          <w:color w:val="000000"/>
          <w:sz w:val="20"/>
          <w:szCs w:val="20"/>
        </w:rPr>
        <w:t>Substituir quaisquer gêneros alimentícios que não esteja dentro do padrão de qualidade, em bom estado de conservação, que apresente defeito ou não esteja em conformidade com as especificações da proposta apresentada.</w:t>
      </w:r>
    </w:p>
    <w:p>
      <w:pPr>
        <w:pStyle w:val="Normal"/>
        <w:tabs>
          <w:tab w:val="clear" w:pos="708"/>
          <w:tab w:val="left" w:pos="0" w:leader="none"/>
        </w:tabs>
        <w:spacing w:lineRule="auto" w:line="360" w:before="113" w:after="113"/>
        <w:ind w:hanging="0" w:left="0" w:right="0"/>
        <w:jc w:val="both"/>
        <w:rPr/>
      </w:pPr>
      <w:r>
        <w:rPr>
          <w:rFonts w:cs="Arial" w:ascii="Verdana" w:hAnsi="Verdana"/>
          <w:b w:val="false"/>
          <w:bCs w:val="false"/>
          <w:i w:val="false"/>
          <w:iCs w:val="false"/>
          <w:color w:val="000000"/>
          <w:sz w:val="20"/>
          <w:szCs w:val="20"/>
        </w:rPr>
        <w:t>8.9.4. Não haverá reajustamento de preços do material a contratar durante o período do contrato.</w:t>
      </w:r>
    </w:p>
    <w:p>
      <w:pPr>
        <w:pStyle w:val="Normal"/>
        <w:tabs>
          <w:tab w:val="clear" w:pos="708"/>
          <w:tab w:val="left" w:pos="0" w:leader="none"/>
        </w:tabs>
        <w:spacing w:lineRule="auto" w:line="360" w:before="113" w:after="113"/>
        <w:ind w:hanging="0" w:left="0" w:right="0"/>
        <w:jc w:val="both"/>
        <w:rPr/>
      </w:pPr>
      <w:r>
        <w:rPr>
          <w:rFonts w:cs="Arial" w:ascii="Verdana" w:hAnsi="Verdana"/>
          <w:b w:val="false"/>
          <w:bCs w:val="false"/>
          <w:i w:val="false"/>
          <w:iCs w:val="false"/>
          <w:color w:val="000000"/>
          <w:sz w:val="20"/>
          <w:szCs w:val="20"/>
        </w:rPr>
        <w:t>8.9.5. Os gêneros alimentícios deverão ser entregues em embalagens próprias e perfeitas condições de consumo, e a entrega realizada obrigatoriamente pela empresa fornecedora.</w:t>
      </w:r>
    </w:p>
    <w:p>
      <w:pPr>
        <w:pStyle w:val="Normal"/>
        <w:tabs>
          <w:tab w:val="clear" w:pos="708"/>
          <w:tab w:val="left" w:pos="0" w:leader="none"/>
        </w:tabs>
        <w:spacing w:lineRule="auto" w:line="240" w:before="113" w:after="113"/>
        <w:ind w:hanging="0" w:left="0" w:right="0"/>
        <w:jc w:val="both"/>
        <w:rPr>
          <w:rFonts w:ascii="Verdana" w:hAnsi="Verdana" w:cs="Arial"/>
          <w:b/>
          <w:bCs/>
          <w:color w:val="000000"/>
          <w:sz w:val="20"/>
          <w:szCs w:val="20"/>
        </w:rPr>
      </w:pPr>
      <w:r>
        <w:rPr>
          <w:rFonts w:cs="Arial" w:ascii="Verdana" w:hAnsi="Verdana"/>
          <w:b/>
          <w:bCs/>
          <w:color w:val="000000"/>
          <w:sz w:val="20"/>
          <w:szCs w:val="20"/>
        </w:rPr>
      </w:r>
      <w:bookmarkStart w:id="4" w:name="page68R_mcid20"/>
      <w:bookmarkStart w:id="5" w:name="page68R_mcid20"/>
      <w:bookmarkEnd w:id="5"/>
    </w:p>
    <w:p>
      <w:pPr>
        <w:pStyle w:val="Normal"/>
        <w:spacing w:lineRule="auto" w:line="360" w:before="113" w:after="113"/>
        <w:ind w:hanging="0" w:left="0" w:right="0"/>
        <w:jc w:val="both"/>
        <w:rPr/>
      </w:pPr>
      <w:r>
        <w:rPr>
          <w:rFonts w:cs="Arial" w:ascii="Verdana" w:hAnsi="Verdana"/>
          <w:b/>
          <w:bCs/>
          <w:i w:val="false"/>
          <w:iCs w:val="false"/>
          <w:color w:val="000000"/>
          <w:sz w:val="20"/>
          <w:szCs w:val="20"/>
        </w:rPr>
        <w:t>9. DO CONTROLE E FISCALIZAÇÃO DA EXECUÇÃO</w:t>
      </w:r>
      <w:bookmarkStart w:id="6" w:name="page70R_mcid10"/>
    </w:p>
    <w:p>
      <w:pPr>
        <w:pStyle w:val="Normal"/>
        <w:spacing w:lineRule="auto" w:line="360" w:before="113" w:after="113"/>
        <w:ind w:hanging="0" w:left="0" w:right="0"/>
        <w:jc w:val="both"/>
        <w:rPr/>
      </w:pPr>
      <w:r>
        <w:rPr>
          <w:rFonts w:cs="Arial" w:ascii="Verdana" w:hAnsi="Verdana"/>
          <w:b w:val="false"/>
          <w:bCs w:val="false"/>
          <w:i w:val="false"/>
          <w:iCs w:val="false"/>
          <w:color w:val="000000"/>
          <w:sz w:val="20"/>
          <w:szCs w:val="20"/>
        </w:rPr>
        <w:t>9.1. Nos termos do art. 71 da Lei n.º 14.133/2021, será designado representante para acompanhar e fiscalizar a entrega dos bens, anotando em registro próprio todas as ocorrências relacionadas com a execução e determinando o que for necessário à regularização de falhas ou defeitos observados.</w:t>
      </w:r>
    </w:p>
    <w:p>
      <w:pPr>
        <w:pStyle w:val="Normal"/>
        <w:spacing w:lineRule="auto" w:line="360" w:before="113" w:after="113"/>
        <w:ind w:hanging="0" w:left="0" w:right="0"/>
        <w:jc w:val="both"/>
        <w:rPr/>
      </w:pPr>
      <w:r>
        <w:rPr>
          <w:rFonts w:cs="Arial" w:ascii="Verdana" w:hAnsi="Verdana"/>
          <w:b w:val="false"/>
          <w:bCs w:val="false"/>
          <w:i w:val="false"/>
          <w:iCs w:val="false"/>
          <w:color w:val="000000"/>
          <w:sz w:val="20"/>
          <w:szCs w:val="20"/>
        </w:rPr>
        <w:t>9.2. A fiscalização de que trata este item não exclui nem reduz a responsabilidade da Contratada, inclusive perante terceiros, por qualquer irregularidade, ainda que resultante de imperfeições técnicas ou vícios redibitórios, e na ocorrência desta, não implica em responsabilidade da Administração ou de seus agentes e prepostos, de conformidade com a Lei n.º 14.133/2021.</w:t>
      </w:r>
    </w:p>
    <w:p>
      <w:pPr>
        <w:pStyle w:val="Normal"/>
        <w:spacing w:lineRule="auto" w:line="360" w:before="113" w:after="113"/>
        <w:ind w:hanging="0" w:left="0" w:right="0"/>
        <w:jc w:val="both"/>
        <w:rPr/>
      </w:pPr>
      <w:r>
        <w:rPr>
          <w:rFonts w:cs="Arial" w:ascii="Verdana" w:hAnsi="Verdana"/>
          <w:b w:val="false"/>
          <w:bCs w:val="false"/>
          <w:i w:val="false"/>
          <w:iCs w:val="false"/>
          <w:color w:val="000000"/>
          <w:sz w:val="20"/>
          <w:szCs w:val="20"/>
        </w:rPr>
        <w:t>9.3. O representante da Administração/Requerente anotará em registro próprio todas as ocorrências relacionadas com a execução da ata de registro de preços, indicando dia, mês e ano, bem como o nome dos funcionários eventualmente envolvidos, determinando o que</w:t>
      </w:r>
      <w:r>
        <w:rPr>
          <w:rFonts w:ascii="Verdana" w:hAnsi="Verdana"/>
          <w:sz w:val="20"/>
          <w:szCs w:val="20"/>
        </w:rPr>
        <w:br/>
      </w:r>
      <w:r>
        <w:rPr>
          <w:rFonts w:cs="Arial" w:ascii="Verdana" w:hAnsi="Verdana"/>
          <w:b w:val="false"/>
          <w:bCs w:val="false"/>
          <w:i w:val="false"/>
          <w:iCs w:val="false"/>
          <w:color w:val="000000"/>
          <w:sz w:val="20"/>
          <w:szCs w:val="20"/>
        </w:rPr>
        <w:t xml:space="preserve">for necessário à regularização das falhas ou </w:t>
      </w:r>
      <w:r>
        <w:rPr>
          <w:rFonts w:ascii="Verdana" w:hAnsi="Verdana"/>
          <w:sz w:val="20"/>
          <w:szCs w:val="20"/>
        </w:rPr>
        <w:t>defeitos observados e encaminhando os apontamentos à autoridade competente para as providências cabíveis.</w:t>
      </w:r>
    </w:p>
    <w:p>
      <w:pPr>
        <w:pStyle w:val="Normal"/>
        <w:spacing w:lineRule="auto" w:line="240" w:before="56" w:after="56"/>
        <w:ind w:hanging="0" w:left="0" w:right="0"/>
        <w:jc w:val="both"/>
        <w:rPr>
          <w:rFonts w:ascii="Verdana" w:hAnsi="Verdana"/>
          <w:sz w:val="20"/>
          <w:szCs w:val="20"/>
        </w:rPr>
      </w:pPr>
      <w:r>
        <w:rPr/>
      </w:r>
    </w:p>
    <w:p>
      <w:pPr>
        <w:pStyle w:val="Normal"/>
        <w:spacing w:lineRule="auto" w:line="360" w:before="113" w:after="113"/>
        <w:ind w:hanging="0" w:left="0" w:right="0"/>
        <w:jc w:val="both"/>
        <w:rPr/>
      </w:pPr>
      <w:r>
        <w:rPr>
          <w:rFonts w:ascii="Verdana" w:hAnsi="Verdana"/>
          <w:b/>
          <w:bCs/>
          <w:sz w:val="20"/>
          <w:szCs w:val="20"/>
        </w:rPr>
        <w:t>10. CRITÉRIOS DE PAGAMENTO</w:t>
      </w:r>
    </w:p>
    <w:p>
      <w:pPr>
        <w:pStyle w:val="Normal"/>
        <w:spacing w:lineRule="auto" w:line="360" w:before="113" w:after="113"/>
        <w:ind w:hanging="0" w:left="0" w:right="0"/>
        <w:jc w:val="both"/>
        <w:rPr/>
      </w:pPr>
      <w:r>
        <w:rPr>
          <w:rFonts w:ascii="Verdana" w:hAnsi="Verdana"/>
          <w:b w:val="false"/>
          <w:bCs w:val="false"/>
          <w:sz w:val="20"/>
          <w:szCs w:val="20"/>
          <w:lang w:eastAsia="en-US"/>
        </w:rPr>
        <w:t xml:space="preserve">10.1. Recebida a Nota Fiscal ou documento de cobrança equivalente, correrá o prazo de </w:t>
      </w:r>
      <w:r>
        <w:rPr>
          <w:rFonts w:eastAsia="Times New Roman" w:cs="Times New Roman" w:ascii="Verdana" w:hAnsi="Verdana"/>
          <w:b w:val="false"/>
          <w:bCs w:val="false"/>
          <w:sz w:val="20"/>
          <w:szCs w:val="20"/>
          <w:lang w:eastAsia="en-US"/>
        </w:rPr>
        <w:t>(30) trinta</w:t>
      </w:r>
      <w:r>
        <w:rPr>
          <w:rFonts w:ascii="Verdana" w:hAnsi="Verdana"/>
          <w:b w:val="false"/>
          <w:bCs w:val="false"/>
          <w:sz w:val="20"/>
          <w:szCs w:val="20"/>
          <w:lang w:eastAsia="en-US"/>
        </w:rPr>
        <w:t xml:space="preserve"> dias úteis para fins de liquidação, na forma desta seção, prorrogáveis por igual período.</w:t>
      </w:r>
    </w:p>
    <w:p>
      <w:pPr>
        <w:pStyle w:val="Normal"/>
        <w:spacing w:lineRule="auto" w:line="360" w:before="113" w:after="113"/>
        <w:ind w:hanging="0" w:left="0" w:right="0"/>
        <w:jc w:val="both"/>
        <w:rPr/>
      </w:pPr>
      <w:r>
        <w:rPr>
          <w:rFonts w:ascii="Verdana" w:hAnsi="Verdana"/>
          <w:b w:val="false"/>
          <w:bCs w:val="false"/>
          <w:sz w:val="20"/>
          <w:szCs w:val="20"/>
        </w:rPr>
        <w:t xml:space="preserve">10.2. O prazo de que trata o item anterior será reduzido à metade, mantendo-se a possibilidade de prorrogação, no caso de contratações decorrentes de despesas cujos valores não ultrapassem o limite de que trata o </w:t>
      </w:r>
      <w:r>
        <w:fldChar w:fldCharType="begin"/>
      </w:r>
      <w:r>
        <w:rPr>
          <w:rStyle w:val="ListLabel29"/>
          <w:sz w:val="20"/>
          <w:u w:val="none"/>
          <w:b w:val="false"/>
          <w:szCs w:val="20"/>
          <w:bCs w:val="false"/>
          <w:rFonts w:ascii="Verdana" w:hAnsi="Verdana"/>
          <w:color w:val="000000"/>
        </w:rPr>
        <w:instrText xml:space="preserve"> HYPERLINK "http://www.planalto.gov.br/ccivil_03/_ato2019-2022/2021/lei/L14133.htm" \l "art75"</w:instrText>
      </w:r>
      <w:r>
        <w:rPr>
          <w:rStyle w:val="ListLabel29"/>
          <w:sz w:val="20"/>
          <w:u w:val="none"/>
          <w:b w:val="false"/>
          <w:szCs w:val="20"/>
          <w:bCs w:val="false"/>
          <w:rFonts w:ascii="Verdana" w:hAnsi="Verdana"/>
          <w:color w:val="000000"/>
        </w:rPr>
        <w:fldChar w:fldCharType="separate"/>
      </w:r>
      <w:r>
        <w:rPr>
          <w:rStyle w:val="ListLabel29"/>
          <w:rFonts w:ascii="Verdana" w:hAnsi="Verdana"/>
          <w:b w:val="false"/>
          <w:bCs w:val="false"/>
          <w:color w:val="000000"/>
          <w:sz w:val="20"/>
          <w:szCs w:val="20"/>
          <w:u w:val="none"/>
        </w:rPr>
        <w:t>inciso II do art. 75 da Lei nº 14.133, de 2021</w:t>
      </w:r>
      <w:r>
        <w:rPr>
          <w:rStyle w:val="ListLabel29"/>
          <w:sz w:val="20"/>
          <w:u w:val="none"/>
          <w:b w:val="false"/>
          <w:szCs w:val="20"/>
          <w:bCs w:val="false"/>
          <w:rFonts w:ascii="Verdana" w:hAnsi="Verdana"/>
          <w:color w:val="000000"/>
        </w:rPr>
        <w:fldChar w:fldCharType="end"/>
      </w:r>
      <w:r>
        <w:rPr>
          <w:rFonts w:ascii="Verdana" w:hAnsi="Verdana"/>
          <w:b w:val="false"/>
          <w:bCs w:val="false"/>
          <w:color w:val="000000"/>
          <w:sz w:val="20"/>
          <w:szCs w:val="20"/>
          <w:u w:val="none"/>
        </w:rPr>
        <w:t>.</w:t>
      </w:r>
    </w:p>
    <w:p>
      <w:pPr>
        <w:pStyle w:val="Normal"/>
        <w:spacing w:lineRule="auto" w:line="360" w:before="113" w:after="113"/>
        <w:ind w:hanging="0" w:left="0" w:right="0"/>
        <w:jc w:val="both"/>
        <w:rPr/>
      </w:pPr>
      <w:r>
        <w:rPr>
          <w:rFonts w:ascii="Verdana" w:hAnsi="Verdana"/>
          <w:b w:val="false"/>
          <w:bCs w:val="false"/>
          <w:sz w:val="20"/>
          <w:szCs w:val="20"/>
        </w:rPr>
        <w:t xml:space="preserve">10.3. Para fins de liquidação, o setor competente deverá verificar se a nota fiscal ou instrumento de cobrança equivalente apresentado expressa os elementos necessários e essenciais do documento, tais como: </w:t>
      </w:r>
    </w:p>
    <w:p>
      <w:pPr>
        <w:pStyle w:val="Normal"/>
        <w:numPr>
          <w:ilvl w:val="0"/>
          <w:numId w:val="2"/>
        </w:numPr>
        <w:tabs>
          <w:tab w:val="clear" w:pos="708"/>
          <w:tab w:val="left" w:pos="563" w:leader="none"/>
        </w:tabs>
        <w:spacing w:lineRule="auto" w:line="360" w:before="113" w:after="113"/>
        <w:jc w:val="both"/>
        <w:rPr/>
      </w:pPr>
      <w:r>
        <w:rPr>
          <w:rFonts w:ascii="Verdana" w:hAnsi="Verdana"/>
          <w:b w:val="false"/>
          <w:bCs w:val="false"/>
          <w:sz w:val="20"/>
          <w:szCs w:val="20"/>
        </w:rPr>
        <w:t>O prazo de validade;</w:t>
      </w:r>
    </w:p>
    <w:p>
      <w:pPr>
        <w:pStyle w:val="Normal"/>
        <w:numPr>
          <w:ilvl w:val="0"/>
          <w:numId w:val="2"/>
        </w:numPr>
        <w:tabs>
          <w:tab w:val="clear" w:pos="708"/>
          <w:tab w:val="left" w:pos="563" w:leader="none"/>
        </w:tabs>
        <w:spacing w:lineRule="auto" w:line="360" w:before="113" w:after="113"/>
        <w:jc w:val="both"/>
        <w:rPr/>
      </w:pPr>
      <w:r>
        <w:rPr>
          <w:rFonts w:ascii="Verdana" w:hAnsi="Verdana"/>
          <w:b w:val="false"/>
          <w:bCs w:val="false"/>
          <w:sz w:val="20"/>
          <w:szCs w:val="20"/>
        </w:rPr>
        <w:t xml:space="preserve">A data da emissão; </w:t>
      </w:r>
    </w:p>
    <w:p>
      <w:pPr>
        <w:pStyle w:val="Normal"/>
        <w:numPr>
          <w:ilvl w:val="0"/>
          <w:numId w:val="2"/>
        </w:numPr>
        <w:tabs>
          <w:tab w:val="clear" w:pos="708"/>
          <w:tab w:val="left" w:pos="563" w:leader="none"/>
        </w:tabs>
        <w:spacing w:lineRule="auto" w:line="360" w:before="113" w:after="113"/>
        <w:jc w:val="both"/>
        <w:rPr/>
      </w:pPr>
      <w:r>
        <w:rPr>
          <w:rFonts w:ascii="Verdana" w:hAnsi="Verdana"/>
          <w:b w:val="false"/>
          <w:bCs w:val="false"/>
          <w:sz w:val="20"/>
          <w:szCs w:val="20"/>
        </w:rPr>
        <w:t xml:space="preserve">Os dados do contrato e do órgão contratante; </w:t>
      </w:r>
    </w:p>
    <w:p>
      <w:pPr>
        <w:pStyle w:val="Normal"/>
        <w:numPr>
          <w:ilvl w:val="0"/>
          <w:numId w:val="2"/>
        </w:numPr>
        <w:tabs>
          <w:tab w:val="clear" w:pos="708"/>
          <w:tab w:val="left" w:pos="563" w:leader="none"/>
        </w:tabs>
        <w:spacing w:lineRule="auto" w:line="360" w:before="113" w:after="113"/>
        <w:jc w:val="both"/>
        <w:rPr/>
      </w:pPr>
      <w:r>
        <w:rPr>
          <w:rFonts w:ascii="Verdana" w:hAnsi="Verdana"/>
          <w:b w:val="false"/>
          <w:bCs w:val="false"/>
          <w:sz w:val="20"/>
          <w:szCs w:val="20"/>
        </w:rPr>
        <w:t xml:space="preserve">O período respectivo de execução do contrato; </w:t>
      </w:r>
    </w:p>
    <w:p>
      <w:pPr>
        <w:pStyle w:val="Normal"/>
        <w:numPr>
          <w:ilvl w:val="0"/>
          <w:numId w:val="2"/>
        </w:numPr>
        <w:tabs>
          <w:tab w:val="clear" w:pos="708"/>
          <w:tab w:val="left" w:pos="563" w:leader="none"/>
        </w:tabs>
        <w:spacing w:lineRule="auto" w:line="360" w:before="113" w:after="113"/>
        <w:jc w:val="both"/>
        <w:rPr/>
      </w:pPr>
      <w:r>
        <w:rPr>
          <w:rFonts w:ascii="Verdana" w:hAnsi="Verdana"/>
          <w:b w:val="false"/>
          <w:bCs w:val="false"/>
          <w:sz w:val="20"/>
          <w:szCs w:val="20"/>
        </w:rPr>
        <w:t xml:space="preserve">O valor a pagar; e </w:t>
      </w:r>
    </w:p>
    <w:p>
      <w:pPr>
        <w:pStyle w:val="Normal"/>
        <w:numPr>
          <w:ilvl w:val="0"/>
          <w:numId w:val="2"/>
        </w:numPr>
        <w:tabs>
          <w:tab w:val="clear" w:pos="708"/>
          <w:tab w:val="left" w:pos="563" w:leader="none"/>
        </w:tabs>
        <w:spacing w:lineRule="auto" w:line="360" w:before="113" w:after="113"/>
        <w:jc w:val="both"/>
        <w:rPr/>
      </w:pPr>
      <w:r>
        <w:rPr>
          <w:rFonts w:ascii="Verdana" w:hAnsi="Verdana"/>
          <w:b w:val="false"/>
          <w:bCs w:val="false"/>
          <w:sz w:val="20"/>
          <w:szCs w:val="20"/>
        </w:rPr>
        <w:t>Eventual destaque do valor de retenções tributárias cabíveis.</w:t>
      </w:r>
    </w:p>
    <w:p>
      <w:pPr>
        <w:pStyle w:val="Normal"/>
        <w:tabs>
          <w:tab w:val="clear" w:pos="708"/>
          <w:tab w:val="left" w:pos="625" w:leader="none"/>
        </w:tabs>
        <w:spacing w:lineRule="auto" w:line="360" w:before="113" w:after="113"/>
        <w:ind w:hanging="0" w:left="0" w:right="0"/>
        <w:jc w:val="both"/>
        <w:rPr/>
      </w:pPr>
      <w:r>
        <w:rPr>
          <w:rFonts w:ascii="Verdana" w:hAnsi="Verdana"/>
          <w:b w:val="false"/>
          <w:bCs w:val="false"/>
          <w:sz w:val="20"/>
          <w:szCs w:val="20"/>
        </w:rPr>
        <w:t>10.4. Haven</w:t>
      </w:r>
      <w:r>
        <w:rPr>
          <w:rFonts w:ascii="Verdana" w:hAnsi="Verdana"/>
          <w:sz w:val="20"/>
          <w:szCs w:val="20"/>
        </w:rPr>
        <w:t>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pPr>
        <w:pStyle w:val="Normal"/>
        <w:tabs>
          <w:tab w:val="clear" w:pos="708"/>
          <w:tab w:val="left" w:pos="109" w:leader="none"/>
        </w:tabs>
        <w:spacing w:lineRule="auto" w:line="360" w:before="113" w:after="113"/>
        <w:ind w:hanging="0" w:left="0" w:right="0"/>
        <w:jc w:val="both"/>
        <w:rPr/>
      </w:pPr>
      <w:r>
        <w:rPr>
          <w:rFonts w:ascii="Verdana" w:hAnsi="Verdana"/>
          <w:b w:val="false"/>
          <w:bCs w:val="false"/>
          <w:sz w:val="20"/>
          <w:szCs w:val="20"/>
        </w:rPr>
        <w:t>10.5. A</w:t>
      </w:r>
      <w:r>
        <w:rPr>
          <w:rFonts w:ascii="Verdana" w:hAnsi="Verdana"/>
          <w:b w:val="false"/>
          <w:bCs w:val="false"/>
          <w:sz w:val="20"/>
          <w:szCs w:val="20"/>
          <w:lang w:eastAsia="en-US"/>
        </w:rPr>
        <w:t xml:space="preserve"> nota fisc</w:t>
      </w:r>
      <w:r>
        <w:rPr>
          <w:rFonts w:ascii="Verdana" w:hAnsi="Verdana"/>
          <w:sz w:val="20"/>
          <w:szCs w:val="20"/>
          <w:lang w:eastAsia="en-US"/>
        </w:rPr>
        <w:t>al ou instrumento de cobrança equivalente deverá ser obrigatoriamente acompanhado da comprovação da regularidade fiscal</w:t>
      </w:r>
      <w:r>
        <w:rPr>
          <w:rStyle w:val="Hyperlink"/>
          <w:rFonts w:ascii="Verdana" w:hAnsi="Verdana"/>
          <w:sz w:val="20"/>
          <w:szCs w:val="20"/>
          <w:lang w:eastAsia="en-US"/>
        </w:rPr>
        <w:t>.</w:t>
      </w:r>
    </w:p>
    <w:p>
      <w:pPr>
        <w:pStyle w:val="Normal"/>
        <w:spacing w:lineRule="auto" w:line="360" w:before="113" w:after="113"/>
        <w:ind w:hanging="0" w:left="0" w:right="0"/>
        <w:jc w:val="both"/>
        <w:rPr/>
      </w:pPr>
      <w:r>
        <w:rPr>
          <w:rFonts w:ascii="Verdana" w:hAnsi="Verdana"/>
          <w:b w:val="false"/>
          <w:bCs w:val="false"/>
          <w:i w:val="false"/>
          <w:iCs w:val="false"/>
          <w:sz w:val="20"/>
          <w:szCs w:val="20"/>
        </w:rPr>
        <w:t>10.6. O pagamento será efetuado no prazo de até 30 (trinta) dias úteis contados da finalização da liquidação da despesa.</w:t>
      </w:r>
    </w:p>
    <w:p>
      <w:pPr>
        <w:pStyle w:val="Normal"/>
        <w:spacing w:lineRule="auto" w:line="360" w:before="113" w:after="113"/>
        <w:ind w:hanging="0" w:left="0" w:right="0"/>
        <w:jc w:val="both"/>
        <w:rPr/>
      </w:pPr>
      <w:r>
        <w:rPr>
          <w:rFonts w:ascii="Verdana" w:hAnsi="Verdana"/>
          <w:b w:val="false"/>
          <w:bCs w:val="false"/>
          <w:i w:val="false"/>
          <w:iCs w:val="false"/>
          <w:sz w:val="20"/>
          <w:szCs w:val="20"/>
        </w:rPr>
        <w:t>10.7. O pagamento será realizado por meio de ordem bancária, para crédito em banco, agência e conta corrente indicados pelo contratado.</w:t>
      </w:r>
    </w:p>
    <w:p>
      <w:pPr>
        <w:pStyle w:val="Normal"/>
        <w:spacing w:lineRule="auto" w:line="360" w:before="113" w:after="113"/>
        <w:ind w:hanging="0" w:left="0" w:right="0"/>
        <w:jc w:val="both"/>
        <w:rPr/>
      </w:pPr>
      <w:r>
        <w:rPr>
          <w:rFonts w:ascii="Verdana" w:hAnsi="Verdana"/>
          <w:b w:val="false"/>
          <w:bCs w:val="false"/>
          <w:i w:val="false"/>
          <w:iCs w:val="false"/>
          <w:sz w:val="20"/>
          <w:szCs w:val="20"/>
        </w:rPr>
        <w:t>10.8. Será considerada data do pagamento o dia em que constar como emitida a ordem bancária para pagamento.</w:t>
      </w:r>
    </w:p>
    <w:p>
      <w:pPr>
        <w:pStyle w:val="Normal"/>
        <w:spacing w:lineRule="auto" w:line="360" w:before="113" w:after="113"/>
        <w:ind w:hanging="0" w:left="0" w:right="0"/>
        <w:jc w:val="both"/>
        <w:rPr/>
      </w:pPr>
      <w:r>
        <w:rPr>
          <w:rFonts w:ascii="Verdana" w:hAnsi="Verdana"/>
          <w:b w:val="false"/>
          <w:bCs w:val="false"/>
          <w:i w:val="false"/>
          <w:iCs w:val="false"/>
          <w:sz w:val="20"/>
          <w:szCs w:val="20"/>
        </w:rPr>
        <w:t>10.9. Quando do pagamento, será efetuada a retenção tributária prevista na legislação aplicável.</w:t>
      </w:r>
    </w:p>
    <w:p>
      <w:pPr>
        <w:pStyle w:val="Normal"/>
        <w:spacing w:lineRule="auto" w:line="360" w:before="113" w:after="113"/>
        <w:ind w:hanging="0" w:left="0" w:right="0"/>
        <w:jc w:val="both"/>
        <w:rPr/>
      </w:pPr>
      <w:r>
        <w:rPr>
          <w:rFonts w:ascii="Verdana" w:hAnsi="Verdana"/>
          <w:b w:val="false"/>
          <w:bCs w:val="false"/>
          <w:i w:val="false"/>
          <w:iCs w:val="false"/>
          <w:sz w:val="20"/>
          <w:szCs w:val="20"/>
          <w:lang w:eastAsia="en-US"/>
        </w:rPr>
        <w:t xml:space="preserve">10.10. O contratado regularmente optante pelo Simples Nacional, nos termos da </w:t>
      </w:r>
      <w:hyperlink r:id="rId3">
        <w:r>
          <w:rPr>
            <w:rStyle w:val="ListLabel30"/>
            <w:rFonts w:ascii="Verdana" w:hAnsi="Verdana"/>
            <w:b w:val="false"/>
            <w:bCs w:val="false"/>
            <w:i w:val="false"/>
            <w:iCs w:val="false"/>
            <w:sz w:val="20"/>
            <w:szCs w:val="20"/>
            <w:u w:val="none"/>
            <w:lang w:eastAsia="en-US"/>
          </w:rPr>
          <w:t>Lei Complementar nº 123, de 2006</w:t>
        </w:r>
      </w:hyperlink>
      <w:r>
        <w:rPr>
          <w:rFonts w:ascii="Verdana" w:hAnsi="Verdana"/>
          <w:b w:val="false"/>
          <w:bCs w:val="false"/>
          <w:i w:val="false"/>
          <w:iCs w:val="false"/>
          <w:sz w:val="20"/>
          <w:szCs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spacing w:lineRule="auto" w:line="360" w:before="113" w:after="113"/>
        <w:ind w:hanging="0" w:left="0" w:right="0"/>
        <w:jc w:val="both"/>
        <w:rPr/>
      </w:pPr>
      <w:r>
        <w:rPr>
          <w:rFonts w:ascii="Verdana" w:hAnsi="Verdana"/>
          <w:b w:val="false"/>
          <w:bCs w:val="false"/>
          <w:i w:val="false"/>
          <w:iCs w:val="false"/>
          <w:sz w:val="20"/>
          <w:szCs w:val="20"/>
          <w:lang w:eastAsia="en-US"/>
        </w:rPr>
        <w:t>10.11.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pPr>
        <w:pStyle w:val="Normal"/>
        <w:spacing w:lineRule="auto" w:line="360" w:before="113" w:after="113"/>
        <w:ind w:hanging="0" w:left="0" w:right="0"/>
        <w:jc w:val="both"/>
        <w:rPr/>
      </w:pPr>
      <w:r>
        <w:rPr>
          <w:rFonts w:ascii="Verdana" w:hAnsi="Verdana"/>
          <w:b w:val="false"/>
          <w:bCs w:val="false"/>
          <w:i w:val="false"/>
          <w:iCs w:val="false"/>
          <w:color w:val="000000"/>
          <w:sz w:val="20"/>
          <w:szCs w:val="20"/>
        </w:rPr>
        <w:t xml:space="preserve">10.11. </w:t>
      </w:r>
      <w:r>
        <w:rPr>
          <w:rFonts w:ascii="Verdana" w:hAnsi="Verdana"/>
          <w:sz w:val="20"/>
          <w:szCs w:val="20"/>
        </w:rPr>
        <w:t>Após o prazo acima referenciado, será paga multa financeira nos seguintes termos:</w:t>
      </w:r>
    </w:p>
    <w:p>
      <w:pPr>
        <w:pStyle w:val="PargrafodaLista"/>
        <w:tabs>
          <w:tab w:val="clear" w:pos="708"/>
          <w:tab w:val="left" w:pos="518" w:leader="none"/>
        </w:tabs>
        <w:spacing w:lineRule="auto" w:line="360" w:before="113" w:after="113"/>
        <w:ind w:hanging="0" w:left="0" w:right="0"/>
        <w:contextualSpacing w:val="false"/>
        <w:jc w:val="center"/>
        <w:rPr/>
      </w:pPr>
      <w:r>
        <w:rPr>
          <w:rFonts w:cs="Verdana" w:ascii="Verdana" w:hAnsi="Verdana"/>
          <w:sz w:val="20"/>
          <w:szCs w:val="20"/>
        </w:rPr>
        <w:t xml:space="preserve">VM = VF </w:t>
      </w:r>
      <w:r>
        <w:rPr>
          <w:rFonts w:cs="Verdana" w:ascii="Verdana" w:hAnsi="Verdana"/>
          <w:sz w:val="20"/>
          <w:szCs w:val="20"/>
          <w:vertAlign w:val="subscript"/>
        </w:rPr>
        <w:t>*</w:t>
      </w:r>
      <w:r>
        <w:rPr>
          <w:rFonts w:cs="Verdana" w:ascii="Verdana" w:hAnsi="Verdana"/>
          <w:sz w:val="20"/>
          <w:szCs w:val="20"/>
        </w:rPr>
        <w:t xml:space="preserve"> </w:t>
      </w:r>
      <w:r>
        <w:rPr>
          <w:rFonts w:cs="Verdana" w:ascii="Verdana" w:hAnsi="Verdana"/>
          <w:sz w:val="20"/>
          <w:szCs w:val="20"/>
          <w:u w:val="single"/>
        </w:rPr>
        <w:t>0,33</w:t>
      </w:r>
      <w:r>
        <w:rPr>
          <w:rFonts w:cs="Verdana" w:ascii="Verdana" w:hAnsi="Verdana"/>
          <w:sz w:val="20"/>
          <w:szCs w:val="20"/>
        </w:rPr>
        <w:t xml:space="preserve"> </w:t>
      </w:r>
      <w:r>
        <w:rPr>
          <w:rFonts w:cs="Verdana" w:ascii="Verdana" w:hAnsi="Verdana"/>
          <w:sz w:val="20"/>
          <w:szCs w:val="20"/>
          <w:vertAlign w:val="subscript"/>
        </w:rPr>
        <w:t>*</w:t>
      </w:r>
      <w:r>
        <w:rPr>
          <w:rFonts w:cs="Verdana" w:ascii="Verdana" w:hAnsi="Verdana"/>
          <w:sz w:val="20"/>
          <w:szCs w:val="20"/>
        </w:rPr>
        <w:t xml:space="preserve"> ND</w:t>
      </w:r>
    </w:p>
    <w:p>
      <w:pPr>
        <w:pStyle w:val="PargrafodaLista"/>
        <w:tabs>
          <w:tab w:val="clear" w:pos="708"/>
          <w:tab w:val="left" w:pos="518" w:leader="none"/>
        </w:tabs>
        <w:spacing w:lineRule="auto" w:line="360" w:before="113" w:after="113"/>
        <w:ind w:hanging="0" w:left="0" w:right="0"/>
        <w:contextualSpacing w:val="false"/>
        <w:jc w:val="center"/>
        <w:rPr/>
      </w:pPr>
      <w:r>
        <w:rPr>
          <w:rFonts w:eastAsia="Verdana" w:cs="Verdana" w:ascii="Verdana" w:hAnsi="Verdana"/>
          <w:sz w:val="20"/>
          <w:szCs w:val="20"/>
        </w:rPr>
        <w:t xml:space="preserve">        </w:t>
      </w:r>
      <w:r>
        <w:rPr>
          <w:rFonts w:cs="Verdana" w:ascii="Verdana" w:hAnsi="Verdana"/>
          <w:sz w:val="20"/>
          <w:szCs w:val="20"/>
        </w:rPr>
        <w:t>100</w:t>
      </w:r>
    </w:p>
    <w:p>
      <w:pPr>
        <w:pStyle w:val="PargrafodaLista"/>
        <w:tabs>
          <w:tab w:val="clear" w:pos="708"/>
          <w:tab w:val="left" w:pos="518" w:leader="none"/>
        </w:tabs>
        <w:spacing w:lineRule="auto" w:line="360" w:before="113" w:after="113"/>
        <w:ind w:hanging="0" w:left="0" w:right="0"/>
        <w:contextualSpacing w:val="false"/>
        <w:jc w:val="both"/>
        <w:rPr/>
      </w:pPr>
      <w:r>
        <w:rPr>
          <w:rFonts w:cs="Arial" w:ascii="Verdana" w:hAnsi="Verdana"/>
          <w:color w:val="000000"/>
          <w:sz w:val="20"/>
          <w:szCs w:val="20"/>
        </w:rPr>
        <w:t xml:space="preserve">Onde: </w:t>
      </w:r>
    </w:p>
    <w:p>
      <w:pPr>
        <w:pStyle w:val="Normal"/>
        <w:suppressAutoHyphens w:val="false"/>
        <w:spacing w:lineRule="auto" w:line="360" w:before="113" w:after="113"/>
        <w:ind w:hanging="0" w:left="0"/>
        <w:rPr/>
      </w:pPr>
      <w:r>
        <w:rPr>
          <w:rFonts w:cs="Arial" w:ascii="Verdana" w:hAnsi="Verdana"/>
          <w:color w:val="000000"/>
          <w:sz w:val="20"/>
          <w:szCs w:val="20"/>
        </w:rPr>
        <w:t xml:space="preserve">VM = Valor da Multa Financeira; </w:t>
      </w:r>
    </w:p>
    <w:p>
      <w:pPr>
        <w:pStyle w:val="Normal"/>
        <w:suppressAutoHyphens w:val="false"/>
        <w:spacing w:lineRule="auto" w:line="360" w:before="113" w:after="113"/>
        <w:ind w:hanging="0" w:left="0"/>
        <w:rPr/>
      </w:pPr>
      <w:r>
        <w:rPr>
          <w:rFonts w:cs="Arial" w:ascii="Verdana" w:hAnsi="Verdana"/>
          <w:color w:val="000000"/>
          <w:sz w:val="20"/>
          <w:szCs w:val="20"/>
        </w:rPr>
        <w:t xml:space="preserve">VF = Valor da Nota Fiscal; </w:t>
      </w:r>
    </w:p>
    <w:p>
      <w:pPr>
        <w:pStyle w:val="PargrafodaLista"/>
        <w:tabs>
          <w:tab w:val="clear" w:pos="708"/>
          <w:tab w:val="left" w:pos="518" w:leader="none"/>
        </w:tabs>
        <w:spacing w:lineRule="auto" w:line="360" w:before="113" w:after="113"/>
        <w:ind w:hanging="0" w:left="0" w:right="0"/>
        <w:contextualSpacing w:val="false"/>
        <w:rPr/>
      </w:pPr>
      <w:r>
        <w:rPr>
          <w:rFonts w:eastAsia="Times New Roman" w:cs="Arial" w:ascii="Verdana" w:hAnsi="Verdana"/>
          <w:color w:val="000000"/>
          <w:sz w:val="20"/>
          <w:szCs w:val="20"/>
        </w:rPr>
        <w:t>ND = Número de dias em atraso.</w:t>
      </w:r>
    </w:p>
    <w:p>
      <w:pPr>
        <w:pStyle w:val="PargrafodaLista"/>
        <w:tabs>
          <w:tab w:val="clear" w:pos="708"/>
          <w:tab w:val="left" w:pos="518" w:leader="none"/>
        </w:tabs>
        <w:spacing w:lineRule="auto" w:line="360" w:before="113" w:after="113"/>
        <w:ind w:hanging="0" w:left="0" w:right="0"/>
        <w:contextualSpacing w:val="false"/>
        <w:jc w:val="both"/>
        <w:rPr/>
      </w:pPr>
      <w:r>
        <w:rPr>
          <w:rFonts w:eastAsia="Times New Roman" w:cs="Arial" w:ascii="Verdana" w:hAnsi="Verdana"/>
          <w:b w:val="false"/>
          <w:bCs w:val="false"/>
          <w:color w:val="000000"/>
          <w:sz w:val="20"/>
          <w:szCs w:val="20"/>
        </w:rPr>
        <w:t xml:space="preserve">10.12.. </w:t>
      </w:r>
      <w:r>
        <w:rPr>
          <w:rFonts w:cs="Arial" w:ascii="Verdana" w:hAnsi="Verdana"/>
          <w:b w:val="false"/>
          <w:bCs w:val="false"/>
          <w:color w:val="000000"/>
          <w:sz w:val="20"/>
          <w:szCs w:val="20"/>
        </w:rPr>
        <w:t>A NOTA FISCAL ELETRÔNICA deverá conter o mesmo CNPJ e razão social apresentados quando na proposta, assim como, o número da contratação, o (s) objeto (s), os valores unitários e totais.</w:t>
      </w:r>
    </w:p>
    <w:p>
      <w:pPr>
        <w:pStyle w:val="PargrafodaLista"/>
        <w:tabs>
          <w:tab w:val="clear" w:pos="708"/>
          <w:tab w:val="left" w:pos="518" w:leader="none"/>
        </w:tabs>
        <w:spacing w:lineRule="auto" w:line="360" w:before="113" w:after="113"/>
        <w:ind w:hanging="0" w:left="0" w:right="0"/>
        <w:contextualSpacing w:val="false"/>
        <w:jc w:val="both"/>
        <w:rPr/>
      </w:pPr>
      <w:r>
        <w:rPr>
          <w:rFonts w:eastAsia="Times New Roman" w:cs="Arial" w:ascii="Verdana" w:hAnsi="Verdana"/>
          <w:b w:val="false"/>
          <w:bCs w:val="false"/>
          <w:color w:val="000000"/>
          <w:sz w:val="20"/>
          <w:szCs w:val="20"/>
        </w:rPr>
        <w:t>10.13.</w:t>
      </w:r>
      <w:r>
        <w:rPr>
          <w:rFonts w:cs="Arial" w:ascii="Verdana" w:hAnsi="Verdana"/>
          <w:b w:val="false"/>
          <w:bCs w:val="false"/>
          <w:color w:val="000000"/>
          <w:sz w:val="20"/>
          <w:szCs w:val="20"/>
        </w:rPr>
        <w:t xml:space="preserve"> Qualquer alteração feita no contrato social, ato constitutivo ou estatuto deverá ser co</w:t>
      </w:r>
      <w:r>
        <w:rPr>
          <w:rFonts w:cs="Arial" w:ascii="Verdana" w:hAnsi="Verdana"/>
          <w:color w:val="000000"/>
          <w:sz w:val="20"/>
          <w:szCs w:val="20"/>
        </w:rPr>
        <w:t>municado ao CONTRATANTE, mediante documentação própria, para apreciação da autoridade competente.</w:t>
      </w:r>
    </w:p>
    <w:p>
      <w:pPr>
        <w:pStyle w:val="PargrafodaLista"/>
        <w:tabs>
          <w:tab w:val="clear" w:pos="708"/>
          <w:tab w:val="left" w:pos="518" w:leader="none"/>
        </w:tabs>
        <w:spacing w:lineRule="auto" w:line="360" w:before="113" w:after="113"/>
        <w:ind w:hanging="0" w:left="0" w:right="0"/>
        <w:contextualSpacing w:val="false"/>
        <w:jc w:val="both"/>
        <w:rPr/>
      </w:pPr>
      <w:r>
        <w:rPr>
          <w:rFonts w:eastAsia="Times New Roman" w:cs="Arial" w:ascii="Verdana" w:hAnsi="Verdana"/>
          <w:b w:val="false"/>
          <w:bCs w:val="false"/>
          <w:color w:val="000000"/>
          <w:sz w:val="20"/>
          <w:szCs w:val="20"/>
        </w:rPr>
        <w:t xml:space="preserve">10.14. </w:t>
      </w:r>
      <w:r>
        <w:rPr>
          <w:rFonts w:cs="Arial" w:ascii="Verdana" w:hAnsi="Verdana"/>
          <w:b w:val="false"/>
          <w:bCs w:val="false"/>
          <w:color w:val="000000"/>
          <w:sz w:val="20"/>
          <w:szCs w:val="20"/>
        </w:rPr>
        <w:t>O CONTRATANTE poderá deduzir do pagamento importâncias que a qualquer título lhe forem devidos pela empresa CONTRATADA, em decorrência de descumprimento de suas obrigações.</w:t>
      </w:r>
    </w:p>
    <w:p>
      <w:pPr>
        <w:pStyle w:val="Default"/>
        <w:spacing w:lineRule="auto" w:line="360" w:before="113" w:after="113"/>
        <w:ind w:hanging="0" w:left="0" w:right="0"/>
        <w:jc w:val="both"/>
        <w:rPr/>
      </w:pPr>
      <w:r>
        <w:rPr>
          <w:rFonts w:cs="Arial" w:ascii="Verdana" w:hAnsi="Verdana"/>
          <w:b w:val="false"/>
          <w:bCs w:val="false"/>
          <w:color w:val="000000"/>
          <w:sz w:val="20"/>
          <w:szCs w:val="20"/>
          <w:lang w:eastAsia="en-US"/>
        </w:rPr>
        <w:t xml:space="preserve">10.15. Para a efetivação do pagamento, a CONTRATADA deverá manter as mesmas </w:t>
      </w:r>
      <w:r>
        <w:rPr>
          <w:rFonts w:cs="Arial" w:ascii="Verdana" w:hAnsi="Verdana"/>
          <w:b w:val="false"/>
          <w:bCs w:val="false"/>
          <w:color w:val="000000"/>
          <w:sz w:val="20"/>
          <w:szCs w:val="20"/>
          <w:lang w:eastAsia="pt-BR"/>
        </w:rPr>
        <w:t>condições relativas à proposta de preço e a habilitação;</w:t>
      </w:r>
    </w:p>
    <w:p>
      <w:pPr>
        <w:pStyle w:val="Default"/>
        <w:spacing w:lineRule="auto" w:line="240" w:before="56" w:after="56"/>
        <w:ind w:hanging="0" w:left="0" w:right="0"/>
        <w:jc w:val="both"/>
        <w:rPr>
          <w:rFonts w:ascii="Verdana" w:hAnsi="Verdana" w:cs="Arial"/>
          <w:b/>
          <w:sz w:val="20"/>
          <w:szCs w:val="20"/>
          <w:u w:val="single"/>
        </w:rPr>
      </w:pPr>
      <w:r>
        <w:rPr>
          <w:rFonts w:cs="Arial" w:ascii="Verdana" w:hAnsi="Verdana"/>
          <w:b/>
          <w:sz w:val="20"/>
          <w:szCs w:val="20"/>
          <w:u w:val="single"/>
        </w:rPr>
      </w:r>
    </w:p>
    <w:p>
      <w:pPr>
        <w:pStyle w:val="Normal"/>
        <w:spacing w:lineRule="auto" w:line="360" w:before="113" w:after="113"/>
        <w:ind w:hanging="0" w:left="0" w:right="0"/>
        <w:jc w:val="both"/>
        <w:rPr/>
      </w:pPr>
      <w:r>
        <w:rPr>
          <w:rFonts w:eastAsia="Times New Roman" w:cs="Times New Roman" w:ascii="Verdana" w:hAnsi="Verdana"/>
          <w:b/>
          <w:bCs/>
          <w:iCs/>
          <w:color w:val="000000"/>
          <w:sz w:val="20"/>
          <w:szCs w:val="20"/>
        </w:rPr>
        <w:t>11</w:t>
      </w:r>
      <w:r>
        <w:rPr>
          <w:rFonts w:ascii="Verdana" w:hAnsi="Verdana"/>
          <w:b/>
          <w:bCs/>
          <w:iCs/>
          <w:sz w:val="20"/>
          <w:szCs w:val="20"/>
        </w:rPr>
        <w:t>. DAS SANÇÕES</w:t>
      </w:r>
    </w:p>
    <w:p>
      <w:pPr>
        <w:pStyle w:val="Normal"/>
        <w:spacing w:lineRule="auto" w:line="360" w:before="113" w:after="113"/>
        <w:ind w:hanging="0" w:left="0" w:right="0"/>
        <w:jc w:val="both"/>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.1. Comete infração administrativa o fornecedor/prestador de serviço que cometer quaisquer das infrações previstas no art. 155 da Lei nº 14.133, de 2021, quais sejam:</w:t>
      </w:r>
    </w:p>
    <w:p>
      <w:pPr>
        <w:pStyle w:val="Normal"/>
        <w:spacing w:lineRule="auto" w:line="360" w:before="113" w:after="113"/>
        <w:ind w:hanging="0" w:left="0" w:right="0"/>
        <w:jc w:val="both"/>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.1.1. Dar causa à inexecução parcial do contrato.</w:t>
      </w:r>
    </w:p>
    <w:p>
      <w:pPr>
        <w:pStyle w:val="Normal"/>
        <w:spacing w:lineRule="auto" w:line="360" w:before="113" w:after="113"/>
        <w:ind w:hanging="0" w:left="0" w:right="0"/>
        <w:jc w:val="both"/>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.1.2. Dar causa à inexecução parcial que cause grave dano à Administração, ao funcionamento dos serviços públicos ou ao interesse coletivo.</w:t>
      </w:r>
    </w:p>
    <w:p>
      <w:pPr>
        <w:pStyle w:val="Normal"/>
        <w:spacing w:lineRule="auto" w:line="360" w:before="113" w:after="113"/>
        <w:ind w:hanging="0" w:left="0" w:right="0"/>
        <w:jc w:val="both"/>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.1.3. Dar causa à inexecução total;</w:t>
      </w:r>
    </w:p>
    <w:p>
      <w:pPr>
        <w:pStyle w:val="Normal"/>
        <w:spacing w:lineRule="auto" w:line="360" w:before="113" w:after="113"/>
        <w:ind w:hanging="0" w:left="0" w:right="0"/>
        <w:jc w:val="both"/>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.1.4. Deixar de entregar a documentação exigida para o certame.</w:t>
      </w:r>
    </w:p>
    <w:p>
      <w:pPr>
        <w:pStyle w:val="Normal"/>
        <w:spacing w:lineRule="auto" w:line="360" w:before="113" w:after="113"/>
        <w:ind w:hanging="0" w:left="0" w:right="0"/>
        <w:jc w:val="both"/>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.1.5. Não manter a proposta, salvo em decorrência de fato superveniente devidamente justificado.</w:t>
      </w:r>
    </w:p>
    <w:p>
      <w:pPr>
        <w:pStyle w:val="Normal"/>
        <w:spacing w:lineRule="auto" w:line="360" w:before="113" w:after="113"/>
        <w:ind w:hanging="0" w:left="0" w:right="0"/>
        <w:jc w:val="both"/>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 xml:space="preserve">.1.6. Não celebrar o contrato ou não entregar a documentação exigida para a contratação, quando convocado dentro do prazo de validade de sua proposta. </w:t>
      </w:r>
    </w:p>
    <w:p>
      <w:pPr>
        <w:pStyle w:val="Normal"/>
        <w:spacing w:lineRule="auto" w:line="360" w:before="113" w:after="113"/>
        <w:ind w:hanging="0" w:left="0" w:right="0"/>
        <w:jc w:val="both"/>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.1.7. Ensejar o retardamento da execução ou da entrega do objeto sem motivo justificado,</w:t>
      </w:r>
    </w:p>
    <w:p>
      <w:pPr>
        <w:pStyle w:val="Normal"/>
        <w:spacing w:lineRule="auto" w:line="360" w:before="113" w:after="113"/>
        <w:ind w:hanging="0" w:left="0" w:right="0"/>
        <w:jc w:val="both"/>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.1.8. Apresentar declaração ou documentação falsa exigida para o certame ou prestar declaração falsa durante a dispensa eletrônica ou a execução do objeto.</w:t>
      </w:r>
    </w:p>
    <w:p>
      <w:pPr>
        <w:pStyle w:val="Normal"/>
        <w:spacing w:lineRule="auto" w:line="360" w:before="113" w:after="113"/>
        <w:ind w:hanging="0" w:left="0" w:right="0"/>
        <w:jc w:val="both"/>
        <w:rPr/>
      </w:pPr>
      <w:r>
        <w:rPr>
          <w:rFonts w:ascii="Verdana" w:hAnsi="Verdana"/>
          <w:b w:val="false"/>
          <w:bCs w:val="false"/>
          <w:iCs/>
          <w:sz w:val="20"/>
          <w:szCs w:val="20"/>
        </w:rPr>
        <w:t>11.1.9. Fraudar a dispensa eletrônica ou praticar ato fraudulento na execução do objeto.</w:t>
      </w:r>
    </w:p>
    <w:p>
      <w:pPr>
        <w:pStyle w:val="Normal"/>
        <w:spacing w:lineRule="auto" w:line="360" w:before="113" w:after="113"/>
        <w:ind w:hanging="0" w:left="0" w:right="0"/>
        <w:jc w:val="both"/>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.1.10. Comportar-se de modo inidôneo ou cometer fraude de qualquer natureza.</w:t>
      </w:r>
    </w:p>
    <w:p>
      <w:pPr>
        <w:pStyle w:val="Normal"/>
        <w:spacing w:lineRule="auto" w:line="360" w:before="113" w:after="113"/>
        <w:ind w:hanging="0" w:left="0" w:right="0"/>
        <w:jc w:val="both"/>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.1.10.1. 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spacing w:lineRule="auto" w:line="360" w:before="113" w:after="113"/>
        <w:ind w:hanging="0" w:left="0" w:right="0"/>
        <w:jc w:val="both"/>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.1.11. Praticar atos ilícitos com vistas a frustrar os objetivos deste certame.</w:t>
      </w:r>
    </w:p>
    <w:p>
      <w:pPr>
        <w:pStyle w:val="Normal"/>
        <w:spacing w:lineRule="auto" w:line="360" w:before="113" w:after="113"/>
        <w:ind w:hanging="0" w:left="0" w:right="0"/>
        <w:jc w:val="both"/>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.1.12. Praticar ato lesivo previsto no art. 5º da Lei nº 12.846, de 1º de agosto de 2013.</w:t>
      </w:r>
    </w:p>
    <w:p>
      <w:pPr>
        <w:pStyle w:val="Normal"/>
        <w:spacing w:lineRule="auto" w:line="360" w:before="113" w:after="113"/>
        <w:ind w:hanging="0" w:left="0" w:right="0"/>
        <w:jc w:val="both"/>
        <w:rPr/>
      </w:pPr>
      <w:r>
        <w:rPr>
          <w:rFonts w:eastAsia="Times New Roman" w:cs="Times New Roman" w:ascii="Verdana" w:hAnsi="Verdana"/>
          <w:b w:val="false"/>
          <w:bCs w:val="false"/>
          <w:iCs/>
          <w:color w:val="000000"/>
          <w:sz w:val="20"/>
          <w:szCs w:val="20"/>
        </w:rPr>
        <w:t>11.1.13.</w:t>
      </w:r>
      <w:r>
        <w:rPr>
          <w:rFonts w:ascii="Verdana" w:hAnsi="Verdana"/>
          <w:b w:val="false"/>
          <w:bCs w:val="false"/>
          <w:iCs/>
          <w:sz w:val="20"/>
          <w:szCs w:val="20"/>
        </w:rPr>
        <w:t xml:space="preserve"> O fornecedor que cometer qualquer das infrações discriminadas nos subitens anteriores fica</w:t>
      </w:r>
      <w:r>
        <w:rPr>
          <w:rFonts w:ascii="Verdana" w:hAnsi="Verdana"/>
          <w:iCs/>
          <w:sz w:val="20"/>
          <w:szCs w:val="20"/>
        </w:rPr>
        <w:t>rá sujeito, sem prejuízo da responsabilidade civil e criminal, às seguintes sanções:</w:t>
      </w:r>
    </w:p>
    <w:p>
      <w:pPr>
        <w:pStyle w:val="Normal"/>
        <w:spacing w:lineRule="auto" w:line="360" w:before="113" w:after="113"/>
        <w:ind w:hanging="0" w:left="0" w:right="0"/>
        <w:jc w:val="both"/>
        <w:rPr/>
      </w:pPr>
      <w:r>
        <w:rPr>
          <w:rFonts w:ascii="Verdana" w:hAnsi="Verdana"/>
          <w:iCs/>
          <w:sz w:val="20"/>
          <w:szCs w:val="20"/>
        </w:rPr>
        <w:tab/>
      </w:r>
      <w:r>
        <w:rPr>
          <w:rFonts w:ascii="Verdana" w:hAnsi="Verdana"/>
          <w:b/>
          <w:bCs/>
          <w:iCs/>
          <w:sz w:val="20"/>
          <w:szCs w:val="20"/>
        </w:rPr>
        <w:t>a)</w:t>
      </w:r>
      <w:r>
        <w:rPr>
          <w:rFonts w:ascii="Verdana" w:hAnsi="Verdana"/>
          <w:iCs/>
          <w:sz w:val="20"/>
          <w:szCs w:val="20"/>
        </w:rPr>
        <w:t xml:space="preserve"> Advertência pela falta do subitem 11.1.1 deste Termo de Referência, quando não se justificar a imposição de penalidade mais grave.</w:t>
      </w:r>
    </w:p>
    <w:p>
      <w:pPr>
        <w:pStyle w:val="Normal"/>
        <w:spacing w:lineRule="auto" w:line="360" w:before="113" w:after="113"/>
        <w:ind w:hanging="0" w:left="0" w:right="0"/>
        <w:jc w:val="both"/>
        <w:rPr/>
      </w:pPr>
      <w:r>
        <w:rPr>
          <w:rFonts w:ascii="Verdana" w:hAnsi="Verdana"/>
          <w:iCs/>
          <w:sz w:val="20"/>
          <w:szCs w:val="20"/>
        </w:rPr>
        <w:tab/>
      </w:r>
      <w:r>
        <w:rPr>
          <w:rFonts w:ascii="Verdana" w:hAnsi="Verdana"/>
          <w:b/>
          <w:bCs/>
          <w:iCs/>
          <w:sz w:val="20"/>
          <w:szCs w:val="20"/>
        </w:rPr>
        <w:t>b)</w:t>
      </w:r>
      <w:r>
        <w:rPr>
          <w:rFonts w:ascii="Verdana" w:hAnsi="Verdana"/>
          <w:iCs/>
          <w:sz w:val="20"/>
          <w:szCs w:val="20"/>
        </w:rPr>
        <w:t xml:space="preserve"> Multa, calculada na forma do edital, com base no total do valor da contratação realizada de forma direta e será aplicada ao responsável por qualquer das infrações administrativas previstas no item 11.1 deste Termo de Referência, no percentual de 10% (dez por cento), na hipótese de cometimento das infrações previstas nos itens 11.1.1 a </w:t>
      </w:r>
      <w:r>
        <w:rPr>
          <w:rFonts w:eastAsia="Times New Roman" w:cs="Times New Roman" w:ascii="Verdana" w:hAnsi="Verdana"/>
          <w:iCs/>
          <w:color w:val="000000"/>
          <w:sz w:val="20"/>
          <w:szCs w:val="20"/>
        </w:rPr>
        <w:t>11</w:t>
      </w:r>
      <w:r>
        <w:rPr>
          <w:rFonts w:ascii="Verdana" w:hAnsi="Verdana"/>
          <w:iCs/>
          <w:sz w:val="20"/>
          <w:szCs w:val="20"/>
        </w:rPr>
        <w:t xml:space="preserve">.1.7 e 20% (vinte por cento), se cometidas infrações previstas nos itens 11.1.8 a 11.1.12; </w:t>
      </w:r>
    </w:p>
    <w:p>
      <w:pPr>
        <w:pStyle w:val="Normal"/>
        <w:spacing w:lineRule="auto" w:line="360" w:before="113" w:after="113"/>
        <w:ind w:hanging="0" w:left="0" w:right="0"/>
        <w:jc w:val="both"/>
        <w:rPr/>
      </w:pPr>
      <w:r>
        <w:rPr>
          <w:rFonts w:ascii="Verdana" w:hAnsi="Verdana"/>
          <w:iCs/>
          <w:sz w:val="20"/>
          <w:szCs w:val="20"/>
        </w:rPr>
        <w:tab/>
        <w:t>b.1) O valor da multa poderá ser descontado das faturas devidas à CONTRATADA;</w:t>
      </w:r>
    </w:p>
    <w:p>
      <w:pPr>
        <w:pStyle w:val="Normal"/>
        <w:spacing w:lineRule="auto" w:line="360" w:before="113" w:after="113"/>
        <w:ind w:hanging="0" w:left="0" w:right="0"/>
        <w:jc w:val="both"/>
        <w:rPr/>
      </w:pPr>
      <w:r>
        <w:rPr>
          <w:rFonts w:ascii="Verdana" w:hAnsi="Verdana"/>
          <w:iCs/>
          <w:sz w:val="20"/>
          <w:szCs w:val="20"/>
        </w:rPr>
        <w:tab/>
        <w:t xml:space="preserve">b.2) A multa pode ser aplicada isoladamente ou juntamente com as penalidades definidas nos itens “c” e “d” abaixo: </w:t>
      </w:r>
    </w:p>
    <w:p>
      <w:pPr>
        <w:pStyle w:val="Normal"/>
        <w:spacing w:lineRule="auto" w:line="360" w:before="113" w:after="113"/>
        <w:ind w:hanging="0" w:left="0" w:right="0"/>
        <w:jc w:val="both"/>
        <w:rPr/>
      </w:pPr>
      <w:r>
        <w:rPr>
          <w:rFonts w:ascii="Verdana" w:hAnsi="Verdana"/>
          <w:iCs/>
          <w:sz w:val="20"/>
          <w:szCs w:val="20"/>
        </w:rPr>
        <w:tab/>
      </w:r>
      <w:r>
        <w:rPr>
          <w:rFonts w:ascii="Verdana" w:hAnsi="Verdana"/>
          <w:b/>
          <w:bCs/>
          <w:iCs/>
          <w:sz w:val="20"/>
          <w:szCs w:val="20"/>
        </w:rPr>
        <w:t>c)</w:t>
      </w:r>
      <w:r>
        <w:rPr>
          <w:rFonts w:ascii="Verdana" w:hAnsi="Verdana"/>
          <w:iCs/>
          <w:sz w:val="20"/>
          <w:szCs w:val="20"/>
        </w:rPr>
        <w:t xml:space="preserve"> Impedimento de licitar e contratar no âmbito da Administração Pública direta e indireta do ente federativo que tiver aplicado a sanção, pelo prazo máximo de 03 (três) anos, nos casos dos subitens 11.1.2 a 11.1.7 deste Termo de Referência, quando não se justificar a imposição de penalidade mais grave.</w:t>
      </w:r>
    </w:p>
    <w:p>
      <w:pPr>
        <w:pStyle w:val="Normal"/>
        <w:spacing w:lineRule="auto" w:line="360" w:before="113" w:after="113"/>
        <w:ind w:hanging="0" w:left="0" w:right="0"/>
        <w:jc w:val="both"/>
        <w:rPr/>
      </w:pPr>
      <w:r>
        <w:rPr>
          <w:rFonts w:ascii="Verdana" w:hAnsi="Verdana"/>
          <w:iCs/>
          <w:sz w:val="20"/>
          <w:szCs w:val="20"/>
        </w:rPr>
        <w:tab/>
      </w:r>
      <w:r>
        <w:rPr>
          <w:rFonts w:ascii="Verdana" w:hAnsi="Verdana"/>
          <w:b/>
          <w:bCs/>
          <w:iCs/>
          <w:sz w:val="20"/>
          <w:szCs w:val="20"/>
        </w:rPr>
        <w:t>d)</w:t>
      </w:r>
      <w:r>
        <w:rPr>
          <w:rFonts w:ascii="Verdana" w:hAnsi="Verdana"/>
          <w:iCs/>
          <w:sz w:val="20"/>
          <w:szCs w:val="20"/>
        </w:rPr>
        <w:t xml:space="preserve"> Declaração de inidoneidade para licitar ou contratar, que impedirá o responsável de licitar ou contratar no âmbito da Administração Pública direta e indireta de todos os entes federativos, pelo prazo mínimo de 03 (três) anos e máximo de 06 (seis) anos, nos casos dos subitens 11.1.2 a 11.1.12, deste Termo de Referência.</w:t>
      </w:r>
    </w:p>
    <w:p>
      <w:pPr>
        <w:pStyle w:val="Normal"/>
        <w:spacing w:lineRule="auto" w:line="360" w:before="113" w:after="113"/>
        <w:ind w:hanging="0" w:left="0" w:right="0"/>
        <w:jc w:val="both"/>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.3. Na aplicação das sanções serão considerados:</w:t>
      </w:r>
    </w:p>
    <w:p>
      <w:pPr>
        <w:pStyle w:val="Normal"/>
        <w:spacing w:lineRule="auto" w:line="360" w:before="113" w:after="113"/>
        <w:ind w:hanging="0" w:left="0" w:right="0"/>
        <w:jc w:val="both"/>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.3.1. A natureza e a gravidade da infração cometida.</w:t>
      </w:r>
    </w:p>
    <w:p>
      <w:pPr>
        <w:pStyle w:val="Normal"/>
        <w:spacing w:lineRule="auto" w:line="360" w:before="113" w:after="113"/>
        <w:ind w:hanging="0" w:left="0" w:right="0"/>
        <w:jc w:val="both"/>
        <w:rPr/>
      </w:pPr>
      <w:r>
        <w:rPr>
          <w:rFonts w:ascii="Verdana" w:hAnsi="Verdana"/>
          <w:b w:val="false"/>
          <w:bCs w:val="false"/>
          <w:iCs/>
          <w:sz w:val="20"/>
          <w:szCs w:val="20"/>
        </w:rPr>
        <w:t>11.3.2. As peculiaridades do caso concreto.</w:t>
      </w:r>
    </w:p>
    <w:p>
      <w:pPr>
        <w:pStyle w:val="Normal"/>
        <w:spacing w:lineRule="auto" w:line="360" w:before="113" w:after="113"/>
        <w:ind w:hanging="0" w:left="0" w:right="0"/>
        <w:jc w:val="both"/>
        <w:rPr/>
      </w:pPr>
      <w:r>
        <w:rPr>
          <w:rFonts w:ascii="Verdana" w:hAnsi="Verdana"/>
          <w:b w:val="false"/>
          <w:bCs w:val="false"/>
          <w:iCs/>
          <w:sz w:val="20"/>
          <w:szCs w:val="20"/>
        </w:rPr>
        <w:t>11.3.3. As circunstâncias agravantes ou atenuantes.</w:t>
      </w:r>
    </w:p>
    <w:p>
      <w:pPr>
        <w:pStyle w:val="Normal"/>
        <w:spacing w:lineRule="auto" w:line="360" w:before="113" w:after="113"/>
        <w:ind w:hanging="0" w:left="0" w:right="0"/>
        <w:jc w:val="both"/>
        <w:rPr/>
      </w:pPr>
      <w:r>
        <w:rPr>
          <w:rFonts w:ascii="Verdana" w:hAnsi="Verdana"/>
          <w:b w:val="false"/>
          <w:bCs w:val="false"/>
          <w:iCs/>
          <w:sz w:val="20"/>
          <w:szCs w:val="20"/>
        </w:rPr>
        <w:t>11.3.4. Os danos que dela provierem para a Administração Pública.</w:t>
      </w:r>
    </w:p>
    <w:p>
      <w:pPr>
        <w:pStyle w:val="Normal"/>
        <w:spacing w:lineRule="auto" w:line="360" w:before="113" w:after="113"/>
        <w:ind w:hanging="0" w:left="0" w:right="0"/>
        <w:jc w:val="both"/>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.3.5. A implantação ou o aperfeiçoamento de programa de integridade, conforme normas e orientações dos órgãos de controle.</w:t>
      </w:r>
    </w:p>
    <w:p>
      <w:pPr>
        <w:pStyle w:val="Normal"/>
        <w:spacing w:lineRule="auto" w:line="360" w:before="113" w:after="113"/>
        <w:ind w:hanging="0" w:left="0" w:right="0"/>
        <w:jc w:val="both"/>
        <w:rPr/>
      </w:pPr>
      <w:r>
        <w:rPr>
          <w:rFonts w:ascii="Verdana" w:hAnsi="Verdana"/>
          <w:b w:val="false"/>
          <w:bCs w:val="false"/>
          <w:iCs/>
          <w:sz w:val="20"/>
          <w:szCs w:val="20"/>
        </w:rPr>
        <w:t>11.4. Se a multa aplicada e as indenizações cabíveis forem superiores ao valor de pagamento eventualmente devido pela Administração à CONTRATADA, além da perda desse valor, a diferença será descontada da garantia prestada ou será cobrada judicialmente.</w:t>
      </w:r>
    </w:p>
    <w:p>
      <w:pPr>
        <w:pStyle w:val="Normal"/>
        <w:spacing w:lineRule="auto" w:line="360" w:before="113" w:after="113"/>
        <w:ind w:hanging="0" w:left="0" w:right="0"/>
        <w:jc w:val="both"/>
        <w:rPr/>
      </w:pPr>
      <w:r>
        <w:rPr>
          <w:rFonts w:ascii="Verdana" w:hAnsi="Verdana"/>
          <w:b w:val="false"/>
          <w:bCs w:val="false"/>
          <w:iCs/>
          <w:sz w:val="20"/>
          <w:szCs w:val="20"/>
          <w:lang w:eastAsia="en-US"/>
        </w:rPr>
        <w:t xml:space="preserve">11.5. </w:t>
      </w:r>
      <w:r>
        <w:rPr>
          <w:rFonts w:ascii="Verdana" w:hAnsi="Verdana"/>
          <w:iCs/>
          <w:sz w:val="20"/>
          <w:szCs w:val="20"/>
          <w:lang w:eastAsia="en-US"/>
        </w:rPr>
        <w:t>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pPr>
        <w:pStyle w:val="Normal"/>
        <w:spacing w:lineRule="auto" w:line="240" w:before="113" w:after="113"/>
        <w:ind w:hanging="0" w:left="0" w:right="0"/>
        <w:jc w:val="both"/>
        <w:rPr>
          <w:rFonts w:ascii="Verdana" w:hAnsi="Verdana" w:cs="Arial"/>
          <w:b/>
          <w:sz w:val="20"/>
          <w:szCs w:val="20"/>
          <w:u w:val="single"/>
        </w:rPr>
      </w:pPr>
      <w:r>
        <w:rPr>
          <w:rFonts w:cs="Arial" w:ascii="Verdana" w:hAnsi="Verdana"/>
          <w:b/>
          <w:sz w:val="20"/>
          <w:szCs w:val="20"/>
          <w:u w:val="single"/>
        </w:rPr>
      </w:r>
    </w:p>
    <w:p>
      <w:pPr>
        <w:pStyle w:val="Normal"/>
        <w:spacing w:lineRule="auto" w:line="360" w:before="113" w:after="113"/>
        <w:ind w:hanging="0" w:left="0" w:right="0"/>
        <w:jc w:val="both"/>
        <w:rPr/>
      </w:pPr>
      <w:r>
        <w:rPr>
          <w:rFonts w:ascii="Verdana" w:hAnsi="Verdana"/>
          <w:b/>
          <w:bCs/>
          <w:sz w:val="20"/>
          <w:szCs w:val="20"/>
          <w:lang w:eastAsia="en-US"/>
        </w:rPr>
        <w:t>12. DA HABILITAÇÃO</w:t>
      </w:r>
    </w:p>
    <w:p>
      <w:pPr>
        <w:pStyle w:val="Nivel01"/>
        <w:tabs>
          <w:tab w:val="left" w:pos="517" w:leader="none"/>
          <w:tab w:val="left" w:pos="567" w:leader="none"/>
          <w:tab w:val="left" w:pos="683" w:leader="none"/>
        </w:tabs>
        <w:spacing w:lineRule="auto" w:line="360" w:before="113" w:after="113"/>
        <w:ind w:hanging="0" w:left="0" w:right="0"/>
        <w:rPr/>
      </w:pPr>
      <w:r>
        <w:rPr>
          <w:rFonts w:cs="Verdana" w:ascii="Verdana" w:hAnsi="Verdana"/>
          <w:b w:val="false"/>
          <w:bCs w:val="false"/>
          <w:sz w:val="20"/>
          <w:szCs w:val="20"/>
          <w:lang w:eastAsia="ar-SA"/>
        </w:rPr>
        <w:t>12.1 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seguintes cadastros:</w:t>
      </w:r>
    </w:p>
    <w:p>
      <w:pPr>
        <w:pStyle w:val="ListParagraph"/>
        <w:widowControl/>
        <w:suppressAutoHyphens w:val="true"/>
        <w:overflowPunct w:val="false"/>
        <w:bidi w:val="0"/>
        <w:spacing w:lineRule="auto" w:line="360" w:before="113" w:after="113"/>
        <w:ind w:firstLine="567" w:left="0" w:right="0"/>
        <w:contextualSpacing w:val="false"/>
        <w:jc w:val="left"/>
        <w:rPr/>
      </w:pPr>
      <w:r>
        <w:rPr>
          <w:rFonts w:cs="Verdana" w:ascii="Verdana" w:hAnsi="Verdana"/>
          <w:b/>
          <w:bCs/>
          <w:sz w:val="20"/>
          <w:szCs w:val="20"/>
          <w:lang w:eastAsia="ar-SA"/>
        </w:rPr>
        <w:t>a)</w:t>
      </w:r>
      <w:r>
        <w:rPr>
          <w:rFonts w:cs="Verdana" w:ascii="Verdana" w:hAnsi="Verdana"/>
          <w:b w:val="false"/>
          <w:bCs w:val="false"/>
          <w:sz w:val="20"/>
          <w:szCs w:val="20"/>
          <w:lang w:eastAsia="ar-SA"/>
        </w:rPr>
        <w:t xml:space="preserve"> SICAF;</w:t>
      </w:r>
    </w:p>
    <w:p>
      <w:pPr>
        <w:pStyle w:val="ListParagraph"/>
        <w:widowControl/>
        <w:suppressAutoHyphens w:val="true"/>
        <w:overflowPunct w:val="false"/>
        <w:bidi w:val="0"/>
        <w:spacing w:lineRule="auto" w:line="360" w:before="113" w:after="113"/>
        <w:ind w:firstLine="567" w:left="0" w:right="0"/>
        <w:contextualSpacing w:val="false"/>
        <w:jc w:val="left"/>
        <w:rPr/>
      </w:pPr>
      <w:r>
        <w:rPr>
          <w:rFonts w:cs="Verdana" w:ascii="Verdana" w:hAnsi="Verdana"/>
          <w:b/>
          <w:bCs/>
          <w:sz w:val="20"/>
          <w:szCs w:val="20"/>
          <w:lang w:eastAsia="ar-SA"/>
        </w:rPr>
        <w:t xml:space="preserve">b) </w:t>
      </w:r>
      <w:r>
        <w:rPr>
          <w:rFonts w:cs="Verdana" w:ascii="Verdana" w:hAnsi="Verdana"/>
          <w:b w:val="false"/>
          <w:bCs w:val="false"/>
          <w:sz w:val="20"/>
          <w:szCs w:val="20"/>
          <w:lang w:eastAsia="ar-SA"/>
        </w:rPr>
        <w:t>Cadastro Nacional de Empresas Inidôneas e Suspensas – CEIS, mantido pela Controladoria-Geral da União (</w:t>
      </w:r>
      <w:hyperlink r:id="rId4">
        <w:r>
          <w:rPr>
            <w:rStyle w:val="ListLabel31"/>
            <w:rFonts w:cs="Verdana" w:ascii="Verdana" w:hAnsi="Verdana"/>
            <w:b w:val="false"/>
            <w:bCs w:val="false"/>
            <w:color w:val="000080"/>
            <w:sz w:val="20"/>
            <w:szCs w:val="20"/>
            <w:u w:val="single"/>
            <w:lang w:eastAsia="ar-SA"/>
          </w:rPr>
          <w:t>www.portaldatransparencia.gov.br/ceis</w:t>
        </w:r>
      </w:hyperlink>
      <w:r>
        <w:rPr>
          <w:rFonts w:cs="Verdana" w:ascii="Verdana" w:hAnsi="Verdana"/>
          <w:b w:val="false"/>
          <w:bCs w:val="false"/>
          <w:sz w:val="20"/>
          <w:szCs w:val="20"/>
          <w:lang w:eastAsia="ar-SA"/>
        </w:rPr>
        <w:t>);</w:t>
      </w:r>
    </w:p>
    <w:p>
      <w:pPr>
        <w:pStyle w:val="ListParagraph"/>
        <w:widowControl/>
        <w:suppressAutoHyphens w:val="true"/>
        <w:overflowPunct w:val="false"/>
        <w:bidi w:val="0"/>
        <w:spacing w:lineRule="auto" w:line="360" w:before="113" w:after="113"/>
        <w:ind w:firstLine="567" w:left="0" w:right="0"/>
        <w:contextualSpacing w:val="false"/>
        <w:jc w:val="left"/>
        <w:rPr/>
      </w:pPr>
      <w:r>
        <w:rPr>
          <w:rFonts w:cs="Verdana" w:ascii="Verdana" w:hAnsi="Verdana"/>
          <w:b/>
          <w:bCs/>
          <w:sz w:val="20"/>
          <w:szCs w:val="20"/>
          <w:lang w:eastAsia="ar-SA"/>
        </w:rPr>
        <w:t>c)</w:t>
      </w:r>
      <w:r>
        <w:rPr>
          <w:rFonts w:cs="Verdana" w:ascii="Verdana" w:hAnsi="Verdana"/>
          <w:b w:val="false"/>
          <w:bCs w:val="false"/>
          <w:sz w:val="20"/>
          <w:szCs w:val="20"/>
          <w:lang w:eastAsia="ar-SA"/>
        </w:rPr>
        <w:t xml:space="preserve"> Cadastro Nacional de Condenações Cíveis por Atos de Improbidade Administrativa, mantido pelo Conselho Nacional de Justiça (</w:t>
      </w:r>
      <w:hyperlink r:id="rId5">
        <w:r>
          <w:rPr>
            <w:rStyle w:val="ListLabel31"/>
            <w:rFonts w:cs="Verdana" w:ascii="Verdana" w:hAnsi="Verdana"/>
            <w:b w:val="false"/>
            <w:bCs w:val="false"/>
            <w:color w:val="000080"/>
            <w:sz w:val="20"/>
            <w:szCs w:val="20"/>
            <w:u w:val="single"/>
            <w:lang w:eastAsia="ar-SA"/>
          </w:rPr>
          <w:t>www.cnj.jus.br/improbidade_adm/consultar_requerido.php</w:t>
        </w:r>
      </w:hyperlink>
      <w:r>
        <w:rPr>
          <w:rFonts w:cs="Verdana" w:ascii="Verdana" w:hAnsi="Verdana"/>
          <w:b w:val="false"/>
          <w:bCs w:val="false"/>
          <w:sz w:val="20"/>
          <w:szCs w:val="20"/>
          <w:lang w:eastAsia="ar-SA"/>
        </w:rPr>
        <w:t>).</w:t>
      </w:r>
    </w:p>
    <w:p>
      <w:pPr>
        <w:pStyle w:val="ListParagraph"/>
        <w:widowControl/>
        <w:suppressAutoHyphens w:val="true"/>
        <w:overflowPunct w:val="false"/>
        <w:bidi w:val="0"/>
        <w:spacing w:lineRule="auto" w:line="360" w:before="113" w:after="113"/>
        <w:ind w:firstLine="567" w:left="0" w:right="0"/>
        <w:contextualSpacing w:val="false"/>
        <w:jc w:val="left"/>
        <w:rPr/>
      </w:pPr>
      <w:r>
        <w:rPr>
          <w:rFonts w:cs="Verdana" w:ascii="Verdana" w:hAnsi="Verdana"/>
          <w:b/>
          <w:bCs/>
          <w:sz w:val="20"/>
          <w:szCs w:val="20"/>
          <w:lang w:eastAsia="ar-SA"/>
        </w:rPr>
        <w:t>d)</w:t>
      </w:r>
      <w:r>
        <w:rPr>
          <w:rFonts w:cs="Verdana" w:ascii="Verdana" w:hAnsi="Verdana"/>
          <w:b w:val="false"/>
          <w:bCs w:val="false"/>
          <w:sz w:val="20"/>
          <w:szCs w:val="20"/>
          <w:lang w:eastAsia="ar-SA"/>
        </w:rPr>
        <w:t xml:space="preserve"> Cadastro de Inidôneos e o Cadastro Integrado de Condenações por Ilícitos Administrativos – CADICON, mantidos pelo Tribunal de Contas da União – TCU;</w:t>
      </w:r>
    </w:p>
    <w:p>
      <w:pPr>
        <w:pStyle w:val="Normal"/>
        <w:widowControl/>
        <w:suppressAutoHyphens w:val="true"/>
        <w:overflowPunct w:val="false"/>
        <w:bidi w:val="0"/>
        <w:spacing w:lineRule="auto" w:line="360" w:before="113" w:after="113"/>
        <w:ind w:firstLine="567" w:left="0" w:right="0"/>
        <w:jc w:val="left"/>
        <w:rPr/>
      </w:pPr>
      <w:r>
        <w:rPr>
          <w:rFonts w:cs="Verdana" w:ascii="Verdana" w:hAnsi="Verdana"/>
          <w:b/>
          <w:bCs/>
          <w:sz w:val="20"/>
          <w:szCs w:val="20"/>
          <w:lang w:eastAsia="ar-SA"/>
        </w:rPr>
        <w:t>e)</w:t>
      </w:r>
      <w:r>
        <w:rPr>
          <w:rFonts w:cs="Verdana" w:ascii="Verdana" w:hAnsi="Verdana"/>
          <w:b w:val="false"/>
          <w:bCs w:val="false"/>
          <w:sz w:val="20"/>
          <w:szCs w:val="20"/>
          <w:lang w:eastAsia="ar-SA"/>
        </w:rPr>
        <w:t xml:space="preserve"> Cadastro de empresas inid</w:t>
      </w:r>
      <w:r>
        <w:rPr>
          <w:rFonts w:cs="Verdana" w:ascii="Verdana" w:hAnsi="Verdana"/>
          <w:b w:val="false"/>
          <w:bCs w:val="false"/>
          <w:sz w:val="20"/>
          <w:szCs w:val="20"/>
        </w:rPr>
        <w:t>ôneas, mantido pelo Tribunal de Contas do Estado do Espírito Santo –TCE/ES(https://www.tcees.tc.br/portal-da-transparencia/consultas/lista-de-responsaveis/empresas-inidoneas/) e proibidas de contratar com o Poder Público estadual ou municipal(</w:t>
      </w:r>
      <w:hyperlink r:id="rId6">
        <w:r>
          <w:rPr>
            <w:rStyle w:val="ListLabel32"/>
            <w:rFonts w:cs="Verdana" w:ascii="Verdana" w:hAnsi="Verdana"/>
            <w:b w:val="false"/>
            <w:bCs w:val="false"/>
            <w:color w:val="000080"/>
            <w:sz w:val="20"/>
            <w:szCs w:val="20"/>
            <w:u w:val="single"/>
          </w:rPr>
          <w:t>https://www.tcees.tc.br/portal-da-transparencia/consultas/lista-de</w:t>
        </w:r>
      </w:hyperlink>
      <w:r>
        <w:rPr>
          <w:rFonts w:cs="Verdana" w:ascii="Verdana" w:hAnsi="Verdana"/>
          <w:b w:val="false"/>
          <w:bCs w:val="false"/>
          <w:sz w:val="20"/>
          <w:szCs w:val="20"/>
        </w:rPr>
        <w:t xml:space="preserve"> responsáveis/proibidos-de-contratar/).</w:t>
      </w:r>
    </w:p>
    <w:p>
      <w:pPr>
        <w:pStyle w:val="Normal"/>
        <w:spacing w:lineRule="auto" w:line="360" w:before="113" w:after="113"/>
        <w:ind w:hanging="0" w:left="0"/>
        <w:jc w:val="both"/>
        <w:rPr/>
      </w:pPr>
      <w:r>
        <w:rPr>
          <w:rFonts w:cs="Verdana" w:ascii="Verdana" w:hAnsi="Verdana"/>
          <w:b w:val="false"/>
          <w:bCs w:val="false"/>
          <w:sz w:val="20"/>
          <w:szCs w:val="20"/>
          <w:lang w:eastAsia="ar-SA"/>
        </w:rPr>
        <w:t xml:space="preserve">12.1.1. </w:t>
      </w:r>
      <w:r>
        <w:rPr>
          <w:rFonts w:cs="Verdana" w:ascii="Verdana" w:hAnsi="Verdana"/>
          <w:sz w:val="20"/>
          <w:szCs w:val="20"/>
          <w:lang w:eastAsia="ar-SA"/>
        </w:rPr>
        <w:t>Para a consulta de licitantes pessoa jurídica poderá haver a substituição das consultas das alíneas “b”, “c” e “d” acima pela Consulta Consolidada de Pessoa Jurídica do TCU (</w:t>
      </w:r>
      <w:hyperlink r:id="rId7">
        <w:r>
          <w:rPr>
            <w:rStyle w:val="ListLabel33"/>
            <w:rFonts w:cs="Verdana" w:ascii="Verdana" w:hAnsi="Verdana"/>
            <w:color w:val="000080"/>
            <w:sz w:val="20"/>
            <w:szCs w:val="20"/>
            <w:u w:val="single"/>
            <w:lang w:eastAsia="ar-SA"/>
          </w:rPr>
          <w:t>https://certidoesapf.apps.tcu.gov.br/</w:t>
        </w:r>
      </w:hyperlink>
      <w:r>
        <w:rPr>
          <w:rFonts w:cs="Verdana" w:ascii="Verdana" w:hAnsi="Verdana"/>
          <w:sz w:val="20"/>
          <w:szCs w:val="20"/>
          <w:lang w:eastAsia="ar-SA"/>
        </w:rPr>
        <w:t>);</w:t>
      </w:r>
    </w:p>
    <w:p>
      <w:pPr>
        <w:pStyle w:val="Normal"/>
        <w:spacing w:lineRule="auto" w:line="360" w:before="113" w:after="113"/>
        <w:ind w:hanging="0" w:left="0"/>
        <w:jc w:val="both"/>
        <w:rPr/>
      </w:pPr>
      <w:r>
        <w:rPr>
          <w:rFonts w:cs="Verdana" w:ascii="Verdana" w:hAnsi="Verdana"/>
          <w:b w:val="false"/>
          <w:bCs w:val="false"/>
          <w:color w:val="000000"/>
          <w:sz w:val="20"/>
          <w:szCs w:val="20"/>
        </w:rPr>
        <w:t>12.1.2.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08"/>
          <w:tab w:val="left" w:pos="733" w:leader="none"/>
          <w:tab w:val="left" w:pos="900" w:leader="none"/>
        </w:tabs>
        <w:spacing w:lineRule="auto" w:line="360" w:before="113" w:after="113"/>
        <w:ind w:hanging="0" w:left="0" w:right="0"/>
        <w:contextualSpacing w:val="false"/>
        <w:jc w:val="both"/>
        <w:rPr/>
      </w:pPr>
      <w:r>
        <w:rPr>
          <w:rFonts w:cs="Verdana" w:ascii="Verdana" w:hAnsi="Verdana"/>
          <w:b w:val="false"/>
          <w:bCs w:val="false"/>
          <w:color w:val="000000"/>
          <w:sz w:val="20"/>
          <w:szCs w:val="20"/>
        </w:rPr>
        <w:t>12.1.2.1</w:t>
      </w:r>
      <w:r>
        <w:rPr>
          <w:rFonts w:cs="Verdana" w:ascii="Verdana" w:hAnsi="Verdana"/>
          <w:b/>
          <w:bCs/>
          <w:color w:val="000000"/>
          <w:sz w:val="20"/>
          <w:szCs w:val="20"/>
        </w:rPr>
        <w:t>.</w:t>
      </w:r>
      <w:r>
        <w:rPr>
          <w:rFonts w:cs="Verdana" w:ascii="Verdana" w:hAnsi="Verdana"/>
          <w:bCs/>
          <w:color w:val="000000"/>
          <w:sz w:val="20"/>
          <w:szCs w:val="20"/>
        </w:rPr>
        <w:t xml:space="preserve"> 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08"/>
          <w:tab w:val="left" w:pos="733" w:leader="none"/>
          <w:tab w:val="left" w:pos="900" w:leader="none"/>
        </w:tabs>
        <w:spacing w:lineRule="auto" w:line="360" w:before="113" w:after="113"/>
        <w:ind w:hanging="0" w:left="0" w:right="0"/>
        <w:contextualSpacing w:val="false"/>
        <w:jc w:val="both"/>
        <w:rPr/>
      </w:pPr>
      <w:r>
        <w:rPr>
          <w:rFonts w:cs="Verdana" w:ascii="Verdana" w:hAnsi="Verdana"/>
          <w:b w:val="false"/>
          <w:bCs w:val="false"/>
          <w:color w:val="000000"/>
          <w:sz w:val="20"/>
          <w:szCs w:val="20"/>
        </w:rPr>
        <w:t>12.1.2.2. A tentativa de burla será verificada por meio dos vínculos societários, linhas de fornecimento similares, dentre outros.</w:t>
      </w:r>
    </w:p>
    <w:p>
      <w:pPr>
        <w:pStyle w:val="ListParagraph"/>
        <w:tabs>
          <w:tab w:val="clear" w:pos="708"/>
          <w:tab w:val="left" w:pos="733" w:leader="none"/>
          <w:tab w:val="left" w:pos="900" w:leader="none"/>
        </w:tabs>
        <w:spacing w:lineRule="auto" w:line="360" w:before="113" w:after="113"/>
        <w:ind w:hanging="0" w:left="0" w:right="0"/>
        <w:contextualSpacing w:val="false"/>
        <w:jc w:val="both"/>
        <w:rPr/>
      </w:pPr>
      <w:r>
        <w:rPr>
          <w:rFonts w:cs="Verdana" w:ascii="Verdana" w:hAnsi="Verdana"/>
          <w:b w:val="false"/>
          <w:bCs w:val="false"/>
          <w:color w:val="000000"/>
          <w:sz w:val="20"/>
          <w:szCs w:val="20"/>
        </w:rPr>
        <w:t>12.1.2.3. O licitante será convocado para manifestação previamente à sua desclassificação.</w:t>
      </w:r>
    </w:p>
    <w:p>
      <w:pPr>
        <w:pStyle w:val="ListParagraph"/>
        <w:spacing w:lineRule="auto" w:line="360" w:before="113" w:after="113"/>
        <w:ind w:hanging="0" w:left="0" w:right="0"/>
        <w:contextualSpacing w:val="false"/>
        <w:jc w:val="both"/>
        <w:rPr/>
      </w:pPr>
      <w:r>
        <w:rPr>
          <w:rFonts w:cs="Verdana" w:ascii="Verdana" w:hAnsi="Verdana"/>
          <w:b w:val="false"/>
          <w:bCs w:val="false"/>
          <w:color w:val="000000"/>
          <w:sz w:val="20"/>
          <w:szCs w:val="20"/>
        </w:rPr>
        <w:t>12.1.3. Constatada a existência de sanção, o Pregoeiro reputará o licitante inabilitado, por falta de condição de participação.</w:t>
      </w:r>
    </w:p>
    <w:p>
      <w:pPr>
        <w:pStyle w:val="ListParagraph"/>
        <w:spacing w:lineRule="auto" w:line="360" w:before="113" w:after="113"/>
        <w:ind w:hanging="0" w:left="0" w:right="0"/>
        <w:contextualSpacing w:val="false"/>
        <w:jc w:val="both"/>
        <w:rPr/>
      </w:pPr>
      <w:r>
        <w:rPr>
          <w:rFonts w:cs="Verdana" w:ascii="Verdana" w:hAnsi="Verdana"/>
          <w:b w:val="false"/>
          <w:bCs w:val="false"/>
          <w:color w:val="000000"/>
          <w:sz w:val="20"/>
          <w:szCs w:val="20"/>
        </w:rPr>
        <w:t>12.1.4.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tabs>
          <w:tab w:val="clear" w:pos="708"/>
          <w:tab w:val="left" w:pos="567" w:leader="none"/>
        </w:tabs>
        <w:spacing w:lineRule="auto" w:line="360" w:before="113" w:after="113"/>
        <w:ind w:hanging="0" w:left="0" w:right="0"/>
        <w:contextualSpacing w:val="false"/>
        <w:jc w:val="both"/>
        <w:rPr/>
      </w:pPr>
      <w:r>
        <w:rPr>
          <w:rFonts w:cs="Verdana" w:ascii="Verdana" w:hAnsi="Verdana"/>
          <w:b w:val="false"/>
          <w:bCs w:val="false"/>
          <w:sz w:val="20"/>
          <w:szCs w:val="20"/>
          <w:lang w:eastAsia="ar-SA"/>
        </w:rPr>
        <w:t xml:space="preserve">12.2. </w:t>
      </w:r>
      <w:r>
        <w:rPr>
          <w:rFonts w:cs="Verdana" w:ascii="Verdana" w:hAnsi="Verdana"/>
          <w:b w:val="false"/>
          <w:bCs w:val="false"/>
          <w:color w:val="000000"/>
          <w:sz w:val="20"/>
          <w:szCs w:val="20"/>
        </w:rPr>
        <w:t xml:space="preserve">Caso atendidas as condições de participação, </w:t>
      </w:r>
      <w:r>
        <w:rPr>
          <w:rFonts w:cs="Verdana" w:ascii="Verdana" w:hAnsi="Verdana"/>
          <w:b w:val="false"/>
          <w:bCs w:val="false"/>
          <w:sz w:val="20"/>
          <w:szCs w:val="20"/>
        </w:rPr>
        <w:t>a habilitação dos licitantes será verificada por meio do SICAF, nos documentos por ele abrangidos</w:t>
      </w:r>
      <w:r>
        <w:rPr>
          <w:rFonts w:cs="Verdana" w:ascii="Verdana" w:hAnsi="Verdana"/>
          <w:b w:val="false"/>
          <w:bCs w:val="false"/>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spacing w:lineRule="auto" w:line="360" w:before="113" w:after="113"/>
        <w:ind w:hanging="0" w:left="0" w:right="0"/>
        <w:contextualSpacing w:val="false"/>
        <w:jc w:val="both"/>
        <w:rPr/>
      </w:pPr>
      <w:r>
        <w:rPr>
          <w:rFonts w:cs="Verdana" w:ascii="Verdana" w:hAnsi="Verdana"/>
          <w:b w:val="false"/>
          <w:bCs w:val="false"/>
          <w:sz w:val="20"/>
          <w:szCs w:val="20"/>
          <w:lang w:eastAsia="ar-SA"/>
        </w:rPr>
        <w:t>12.2.1.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spacing w:lineRule="auto" w:line="360" w:before="113" w:after="113"/>
        <w:ind w:hanging="0" w:left="0" w:right="0"/>
        <w:contextualSpacing w:val="false"/>
        <w:jc w:val="both"/>
        <w:rPr/>
      </w:pPr>
      <w:r>
        <w:rPr>
          <w:rFonts w:cs="Verdana" w:ascii="Verdana" w:hAnsi="Verdana"/>
          <w:b w:val="false"/>
          <w:bCs w:val="false"/>
          <w:color w:val="000000"/>
          <w:sz w:val="20"/>
          <w:szCs w:val="20"/>
        </w:rPr>
        <w:t>12.2.2. 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spacing w:lineRule="auto" w:line="360" w:before="113" w:after="113"/>
        <w:ind w:hanging="0" w:left="0" w:right="0"/>
        <w:contextualSpacing w:val="false"/>
        <w:jc w:val="both"/>
        <w:rPr/>
      </w:pPr>
      <w:r>
        <w:rPr>
          <w:rFonts w:cs="Verdana" w:ascii="Verdana" w:hAnsi="Verdana"/>
          <w:b w:val="false"/>
          <w:bCs w:val="false"/>
          <w:color w:val="000000"/>
          <w:sz w:val="20"/>
          <w:szCs w:val="20"/>
        </w:rPr>
        <w:t>12.2.3. 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ListParagraph"/>
        <w:spacing w:lineRule="auto" w:line="360" w:before="113" w:after="113"/>
        <w:ind w:hanging="0" w:left="0" w:right="0"/>
        <w:contextualSpacing w:val="false"/>
        <w:jc w:val="both"/>
        <w:rPr/>
      </w:pPr>
      <w:r>
        <w:rPr>
          <w:rFonts w:cs="Verdana" w:ascii="Verdana" w:hAnsi="Verdana"/>
          <w:b w:val="false"/>
          <w:bCs w:val="false"/>
          <w:color w:val="000000"/>
          <w:sz w:val="20"/>
          <w:szCs w:val="20"/>
        </w:rPr>
        <w:t>12.3. Ha</w:t>
      </w:r>
      <w:r>
        <w:rPr>
          <w:rFonts w:cs="Verdana" w:ascii="Verdana" w:hAnsi="Verdana"/>
          <w:color w:val="000000"/>
          <w:sz w:val="20"/>
          <w:szCs w:val="20"/>
        </w:rPr>
        <w:t>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PADRO"/>
        <w:widowControl/>
        <w:shd w:val="clear" w:fill="FFFFFF"/>
        <w:tabs>
          <w:tab w:val="clear" w:pos="708"/>
          <w:tab w:val="left" w:pos="567" w:leader="none"/>
        </w:tabs>
        <w:spacing w:lineRule="auto" w:line="360" w:before="113" w:after="113"/>
        <w:ind w:hanging="0" w:left="0" w:right="0"/>
        <w:rPr/>
      </w:pPr>
      <w:r>
        <w:rPr>
          <w:rFonts w:cs="Verdana" w:ascii="Verdana" w:hAnsi="Verdana"/>
          <w:b w:val="false"/>
          <w:bCs w:val="false"/>
          <w:sz w:val="20"/>
          <w:szCs w:val="20"/>
        </w:rPr>
        <w:t>12.4 Somente haverá a necessidade de comprovação do preenchimento de requisitos mediante apresentação dos documentos originais não-digitais quando houver dúvida em relação à integridade do documento digital.</w:t>
      </w:r>
    </w:p>
    <w:p>
      <w:pPr>
        <w:pStyle w:val="PADRO"/>
        <w:widowControl/>
        <w:shd w:val="clear" w:fill="FFFFFF"/>
        <w:tabs>
          <w:tab w:val="clear" w:pos="708"/>
          <w:tab w:val="left" w:pos="567" w:leader="none"/>
        </w:tabs>
        <w:spacing w:lineRule="auto" w:line="360" w:before="113" w:after="113"/>
        <w:ind w:hanging="0" w:left="0" w:right="0"/>
        <w:rPr/>
      </w:pPr>
      <w:r>
        <w:rPr>
          <w:rFonts w:cs="Verdana" w:ascii="Verdana" w:hAnsi="Verdana"/>
          <w:b w:val="false"/>
          <w:bCs w:val="false"/>
          <w:sz w:val="20"/>
          <w:szCs w:val="20"/>
        </w:rPr>
        <w:t>12.5 Não serão aceitos documentos de habilitação com indicação de CNPJ/CPF diferentes, salvo aqueles legalmente permitidos.</w:t>
      </w:r>
    </w:p>
    <w:p>
      <w:pPr>
        <w:pStyle w:val="PADRO"/>
        <w:widowControl/>
        <w:shd w:val="clear" w:fill="FFFFFF"/>
        <w:tabs>
          <w:tab w:val="clear" w:pos="708"/>
          <w:tab w:val="left" w:pos="567" w:leader="none"/>
        </w:tabs>
        <w:spacing w:lineRule="auto" w:line="360" w:before="113" w:after="113"/>
        <w:ind w:hanging="0" w:left="0" w:right="0"/>
        <w:rPr/>
      </w:pPr>
      <w:r>
        <w:rPr>
          <w:rFonts w:cs="Verdana" w:ascii="Verdana" w:hAnsi="Verdana"/>
          <w:b w:val="false"/>
          <w:bCs w:val="false"/>
          <w:sz w:val="20"/>
          <w:szCs w:val="20"/>
        </w:rPr>
        <w:t>12.6 Serão aceitos registros de CNPJ de licitante matriz e filial com diferenças de números de documentos pertinentes ao CND e ao CRF/FGTS, quando for comprovada a centralização do recolhimento dessas contribuições.</w:t>
      </w:r>
    </w:p>
    <w:p>
      <w:pPr>
        <w:pStyle w:val="PADRO"/>
        <w:widowControl/>
        <w:shd w:val="clear" w:fill="FFFFFF"/>
        <w:tabs>
          <w:tab w:val="clear" w:pos="708"/>
          <w:tab w:val="left" w:pos="567" w:leader="none"/>
        </w:tabs>
        <w:spacing w:lineRule="auto" w:line="360" w:before="113" w:after="113"/>
        <w:ind w:hanging="0" w:left="0" w:right="0"/>
        <w:rPr/>
      </w:pPr>
      <w:r>
        <w:rPr>
          <w:rFonts w:cs="Verdana" w:ascii="Verdana" w:hAnsi="Verdana"/>
          <w:b w:val="false"/>
          <w:bCs w:val="false"/>
          <w:sz w:val="20"/>
          <w:szCs w:val="20"/>
        </w:rPr>
        <w:t>12.7 Ress</w:t>
      </w:r>
      <w:r>
        <w:rPr>
          <w:rFonts w:cs="Verdana" w:ascii="Verdana" w:hAnsi="Verdana"/>
          <w:sz w:val="20"/>
          <w:szCs w:val="20"/>
        </w:rPr>
        <w:t>alvado o disposto no item 5.3, os licitantes deverão encaminhar, nos termos deste Edital, a documentação relacionada nos itens a seguir, para fins de habilitação:</w:t>
      </w:r>
    </w:p>
    <w:p>
      <w:pPr>
        <w:pStyle w:val="ListParagraph"/>
        <w:spacing w:lineRule="auto" w:line="360" w:before="113" w:after="113"/>
        <w:ind w:hanging="0" w:left="0" w:right="0"/>
        <w:contextualSpacing w:val="false"/>
        <w:jc w:val="both"/>
        <w:rPr/>
      </w:pPr>
      <w:r>
        <w:rPr>
          <w:rFonts w:cs="Verdana" w:ascii="Verdana" w:hAnsi="Verdana"/>
          <w:b/>
          <w:bCs/>
          <w:color w:val="000000"/>
          <w:sz w:val="20"/>
          <w:szCs w:val="20"/>
        </w:rPr>
        <w:t>12.8 Habilitação jurídica</w:t>
      </w:r>
    </w:p>
    <w:p>
      <w:pPr>
        <w:pStyle w:val="ListParagraph"/>
        <w:spacing w:lineRule="auto" w:line="360" w:before="113" w:after="113"/>
        <w:ind w:hanging="0" w:left="0" w:right="0"/>
        <w:contextualSpacing w:val="false"/>
        <w:jc w:val="both"/>
        <w:rPr/>
      </w:pPr>
      <w:r>
        <w:rPr>
          <w:rFonts w:cs="Verdana" w:ascii="Verdana" w:hAnsi="Verdana"/>
          <w:b w:val="false"/>
          <w:bCs w:val="false"/>
          <w:color w:val="000000"/>
          <w:sz w:val="20"/>
          <w:szCs w:val="20"/>
        </w:rPr>
        <w:t>12.8.1 No caso de empresário individual: inscrição no Registro Público de Empresas Mercantis, a cargo da Junta Comercial da respectiva sede.</w:t>
      </w:r>
    </w:p>
    <w:p>
      <w:pPr>
        <w:pStyle w:val="ListParagraph"/>
        <w:spacing w:lineRule="auto" w:line="360" w:before="113" w:after="113"/>
        <w:ind w:hanging="0" w:left="0" w:right="0"/>
        <w:contextualSpacing w:val="false"/>
        <w:jc w:val="both"/>
        <w:rPr/>
      </w:pPr>
      <w:r>
        <w:rPr>
          <w:rFonts w:cs="Verdana" w:ascii="Verdana" w:hAnsi="Verdana"/>
          <w:b w:val="false"/>
          <w:bCs w:val="false"/>
          <w:color w:val="000000"/>
          <w:sz w:val="20"/>
          <w:szCs w:val="20"/>
        </w:rPr>
        <w:t xml:space="preserve">12.8.2 Em se tratando de microempreendedor individual – MEI: Certificado da Condição de Microempreendedor Individual – CCMEI, cuja aceitação ficará condicionada à verificação da autenticidade no sítio </w:t>
      </w:r>
      <w:hyperlink r:id="rId8">
        <w:r>
          <w:rPr>
            <w:rStyle w:val="ListLabel34"/>
            <w:rFonts w:cs="Verdana" w:ascii="Verdana" w:hAnsi="Verdana"/>
            <w:b w:val="false"/>
            <w:bCs w:val="false"/>
            <w:color w:val="000000"/>
            <w:sz w:val="20"/>
            <w:szCs w:val="20"/>
            <w:u w:val="single"/>
          </w:rPr>
          <w:t>www.portaldoempreendedor.gov.br</w:t>
        </w:r>
      </w:hyperlink>
      <w:r>
        <w:rPr>
          <w:rFonts w:cs="Verdana" w:ascii="Verdana" w:hAnsi="Verdana"/>
          <w:b w:val="false"/>
          <w:bCs w:val="false"/>
          <w:color w:val="000000"/>
          <w:sz w:val="20"/>
          <w:szCs w:val="20"/>
          <w:u w:val="single"/>
        </w:rPr>
        <w:t>.</w:t>
      </w:r>
    </w:p>
    <w:p>
      <w:pPr>
        <w:pStyle w:val="ListParagraph"/>
        <w:spacing w:lineRule="auto" w:line="360" w:before="113" w:after="113"/>
        <w:ind w:hanging="0" w:left="0" w:right="0"/>
        <w:contextualSpacing w:val="false"/>
        <w:jc w:val="both"/>
        <w:rPr/>
      </w:pPr>
      <w:r>
        <w:rPr>
          <w:rFonts w:cs="Verdana" w:ascii="Verdana" w:hAnsi="Verdana"/>
          <w:b w:val="false"/>
          <w:bCs w:val="false"/>
          <w:color w:val="000000"/>
          <w:sz w:val="20"/>
          <w:szCs w:val="20"/>
        </w:rPr>
        <w:t>12.8.3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spacing w:lineRule="auto" w:line="360" w:before="113" w:after="113"/>
        <w:ind w:hanging="0" w:left="0" w:right="0"/>
        <w:contextualSpacing w:val="false"/>
        <w:jc w:val="both"/>
        <w:rPr/>
      </w:pPr>
      <w:r>
        <w:rPr>
          <w:rFonts w:cs="Verdana" w:ascii="Verdana" w:hAnsi="Verdana"/>
          <w:b w:val="false"/>
          <w:bCs w:val="false"/>
          <w:color w:val="000000"/>
          <w:sz w:val="20"/>
          <w:szCs w:val="20"/>
        </w:rPr>
        <w:t>12.8.4 Inscrição no Registro Público de Empresas Mercantis onde opera, com averbação no Registro onde tem sede a matriz, no caso de ser o participante sucursal, filial ou agência.</w:t>
      </w:r>
    </w:p>
    <w:p>
      <w:pPr>
        <w:pStyle w:val="ListParagraph"/>
        <w:spacing w:lineRule="auto" w:line="360" w:before="113" w:after="113"/>
        <w:ind w:hanging="0" w:left="0" w:right="0"/>
        <w:contextualSpacing w:val="false"/>
        <w:jc w:val="both"/>
        <w:rPr/>
      </w:pPr>
      <w:r>
        <w:rPr>
          <w:rFonts w:cs="Verdana" w:ascii="Verdana" w:hAnsi="Verdana"/>
          <w:b w:val="false"/>
          <w:bCs w:val="false"/>
          <w:color w:val="000000"/>
          <w:sz w:val="20"/>
          <w:szCs w:val="20"/>
        </w:rPr>
        <w:t>12.8.5 No caso de sociedade simples: inscrição do ato constitutivo no Registro Civil das Pessoas Jurídicas do local de sua sede, acompanhada de prova da indicação dos seus administradores.</w:t>
      </w:r>
    </w:p>
    <w:p>
      <w:pPr>
        <w:pStyle w:val="ListParagraph"/>
        <w:spacing w:lineRule="auto" w:line="360" w:before="113" w:after="113"/>
        <w:ind w:hanging="0" w:left="0" w:right="0"/>
        <w:contextualSpacing w:val="false"/>
        <w:jc w:val="both"/>
        <w:rPr/>
      </w:pPr>
      <w:r>
        <w:rPr>
          <w:rFonts w:cs="Verdana" w:ascii="Verdana" w:hAnsi="Verdana"/>
          <w:b w:val="false"/>
          <w:bCs w:val="false"/>
          <w:color w:val="000000"/>
          <w:sz w:val="20"/>
          <w:szCs w:val="20"/>
        </w:rPr>
        <w:t>12.8.6 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spacing w:lineRule="auto" w:line="360" w:before="113" w:after="113"/>
        <w:ind w:hanging="0" w:left="0" w:right="0"/>
        <w:contextualSpacing w:val="false"/>
        <w:jc w:val="both"/>
        <w:rPr/>
      </w:pPr>
      <w:r>
        <w:rPr>
          <w:rFonts w:cs="Verdana" w:ascii="Verdana" w:hAnsi="Verdana"/>
          <w:b w:val="false"/>
          <w:bCs w:val="false"/>
          <w:color w:val="000000"/>
          <w:sz w:val="20"/>
          <w:szCs w:val="20"/>
        </w:rPr>
        <w:t>12.8.7 No</w:t>
      </w:r>
      <w:r>
        <w:rPr>
          <w:rFonts w:cs="Verdana" w:ascii="Verdana" w:hAnsi="Verdana"/>
          <w:bCs/>
          <w:color w:val="000000"/>
          <w:sz w:val="20"/>
          <w:szCs w:val="20"/>
        </w:rPr>
        <w:t xml:space="preserve"> caso de empresa ou sociedade estrangeira em funcionamento no País: decreto de autorização.</w:t>
      </w:r>
    </w:p>
    <w:p>
      <w:pPr>
        <w:pStyle w:val="ListParagraph"/>
        <w:spacing w:lineRule="auto" w:line="360" w:before="113" w:after="113"/>
        <w:ind w:hanging="0" w:left="0" w:right="0"/>
        <w:contextualSpacing w:val="false"/>
        <w:jc w:val="both"/>
        <w:rPr/>
      </w:pPr>
      <w:r>
        <w:rPr>
          <w:rFonts w:cs="Verdana" w:ascii="Verdana" w:hAnsi="Verdana"/>
          <w:b w:val="false"/>
          <w:bCs w:val="false"/>
          <w:color w:val="000000"/>
          <w:sz w:val="20"/>
          <w:szCs w:val="20"/>
        </w:rPr>
        <w:t>12.8.8 Os documentos acima deverão estar acompanhados de todas as alterações ou da con</w:t>
      </w:r>
      <w:r>
        <w:rPr>
          <w:rFonts w:cs="Verdana" w:ascii="Verdana" w:hAnsi="Verdana"/>
          <w:bCs/>
          <w:color w:val="000000"/>
          <w:sz w:val="20"/>
          <w:szCs w:val="20"/>
        </w:rPr>
        <w:t>solidação respectiva.</w:t>
      </w:r>
    </w:p>
    <w:p>
      <w:pPr>
        <w:pStyle w:val="ListParagraph"/>
        <w:spacing w:lineRule="auto" w:line="360" w:before="113" w:after="113"/>
        <w:ind w:hanging="0" w:left="0" w:right="0"/>
        <w:contextualSpacing w:val="false"/>
        <w:jc w:val="both"/>
        <w:rPr/>
      </w:pPr>
      <w:r>
        <w:rPr>
          <w:rFonts w:cs="Verdana" w:ascii="Verdana" w:hAnsi="Verdana"/>
          <w:b/>
          <w:bCs/>
          <w:color w:val="000000"/>
          <w:sz w:val="20"/>
          <w:szCs w:val="20"/>
        </w:rPr>
        <w:t xml:space="preserve">12.9 Regularidade fiscal </w:t>
      </w:r>
      <w:r>
        <w:rPr>
          <w:rFonts w:cs="Verdana" w:ascii="Verdana" w:hAnsi="Verdana"/>
          <w:b/>
          <w:bCs/>
          <w:sz w:val="20"/>
          <w:szCs w:val="20"/>
        </w:rPr>
        <w:t>e trabalhista</w:t>
      </w:r>
    </w:p>
    <w:p>
      <w:pPr>
        <w:pStyle w:val="Normal"/>
        <w:spacing w:lineRule="auto" w:line="360" w:before="113" w:after="113"/>
        <w:ind w:hanging="0" w:left="0"/>
        <w:jc w:val="both"/>
        <w:rPr/>
      </w:pPr>
      <w:r>
        <w:rPr>
          <w:rFonts w:cs="Verdana" w:ascii="Verdana" w:hAnsi="Verdana"/>
          <w:b w:val="false"/>
          <w:bCs w:val="false"/>
          <w:sz w:val="20"/>
          <w:szCs w:val="20"/>
          <w:lang w:eastAsia="en-US"/>
        </w:rPr>
        <w:t>12.9.1 Prova de inscrição no Cadastro Nacional de Pessoas Jurídicas ou no Cadastro de Pessoas Físicas, conforme o caso.</w:t>
      </w:r>
    </w:p>
    <w:p>
      <w:pPr>
        <w:pStyle w:val="Normal"/>
        <w:spacing w:lineRule="auto" w:line="360" w:before="113" w:after="113"/>
        <w:ind w:hanging="0" w:left="0"/>
        <w:jc w:val="both"/>
        <w:rPr/>
      </w:pPr>
      <w:r>
        <w:rPr>
          <w:rFonts w:cs="Verdana" w:ascii="Verdana" w:hAnsi="Verdana"/>
          <w:b w:val="false"/>
          <w:bCs w:val="false"/>
          <w:sz w:val="20"/>
          <w:szCs w:val="20"/>
          <w:lang w:eastAsia="en-US"/>
        </w:rPr>
        <w:t>12.9.2 Certidão de regularidade junto à fazenda pública Municipal, do domicílio do Licitante.</w:t>
      </w:r>
    </w:p>
    <w:p>
      <w:pPr>
        <w:pStyle w:val="Normal"/>
        <w:spacing w:lineRule="auto" w:line="360" w:before="113" w:after="113"/>
        <w:ind w:hanging="0" w:left="0"/>
        <w:jc w:val="both"/>
        <w:rPr/>
      </w:pPr>
      <w:r>
        <w:rPr>
          <w:rFonts w:cs="Verdana" w:ascii="Verdana" w:hAnsi="Verdana"/>
          <w:b w:val="false"/>
          <w:bCs w:val="false"/>
          <w:sz w:val="20"/>
          <w:szCs w:val="20"/>
        </w:rPr>
        <w:t>12.9.3 Certidão de regularidade junto à fazenda pública Estadual, do domicílio do Licitante.</w:t>
      </w:r>
    </w:p>
    <w:p>
      <w:pPr>
        <w:pStyle w:val="Normal"/>
        <w:spacing w:lineRule="auto" w:line="360" w:before="113" w:after="113"/>
        <w:ind w:hanging="0" w:left="0"/>
        <w:jc w:val="both"/>
        <w:rPr/>
      </w:pPr>
      <w:r>
        <w:rPr>
          <w:rFonts w:cs="Verdana" w:ascii="Verdana" w:hAnsi="Verdana"/>
          <w:b w:val="false"/>
          <w:bCs w:val="false"/>
          <w:sz w:val="20"/>
          <w:szCs w:val="20"/>
        </w:rPr>
        <w:t>12.9.4 Certidão conjunta de regularidade junto à fazenda pública Federal, (Quitação de tributos e contribuições Federais e Quanto à dívida ativa da União) e junto ao INSS, conforme Portaria MF nº 358 de 05/09/2014.</w:t>
      </w:r>
    </w:p>
    <w:p>
      <w:pPr>
        <w:pStyle w:val="Normal"/>
        <w:spacing w:lineRule="auto" w:line="360" w:before="113" w:after="113"/>
        <w:ind w:hanging="0" w:left="0"/>
        <w:jc w:val="both"/>
        <w:rPr/>
      </w:pPr>
      <w:r>
        <w:rPr>
          <w:rFonts w:cs="Verdana" w:ascii="Verdana" w:hAnsi="Verdana"/>
          <w:b w:val="false"/>
          <w:bCs w:val="false"/>
          <w:sz w:val="20"/>
          <w:szCs w:val="20"/>
        </w:rPr>
        <w:t>12.9.5 Certidão de regularidade junto ao FGTS;</w:t>
      </w:r>
    </w:p>
    <w:p>
      <w:pPr>
        <w:pStyle w:val="Normal"/>
        <w:spacing w:lineRule="auto" w:line="360" w:before="113" w:after="113"/>
        <w:ind w:hanging="0" w:left="0"/>
        <w:jc w:val="both"/>
        <w:rPr/>
      </w:pPr>
      <w:r>
        <w:rPr>
          <w:rFonts w:cs="Verdana" w:ascii="Verdana" w:hAnsi="Verdana"/>
          <w:b w:val="false"/>
          <w:bCs w:val="false"/>
          <w:sz w:val="20"/>
          <w:szCs w:val="20"/>
          <w:lang w:eastAsia="en-US"/>
        </w:rPr>
        <w:t>12.9.6 Certidão Negativa De Débitos Trabalhistas (CNDT) de acordo com a Lei 12440 de 7 de julho de 2011.</w:t>
      </w:r>
    </w:p>
    <w:p>
      <w:pPr>
        <w:pStyle w:val="Normal"/>
        <w:spacing w:lineRule="auto" w:line="360" w:before="113" w:after="113"/>
        <w:ind w:hanging="0" w:left="0"/>
        <w:jc w:val="both"/>
        <w:rPr/>
      </w:pPr>
      <w:r>
        <w:rPr>
          <w:rFonts w:cs="Verdana" w:ascii="Verdana" w:hAnsi="Verdana"/>
          <w:b w:val="false"/>
          <w:bCs w:val="false"/>
          <w:color w:val="000000"/>
          <w:sz w:val="20"/>
          <w:szCs w:val="20"/>
          <w:lang w:eastAsia="en-US" w:bidi="pt-BR"/>
        </w:rPr>
        <w:t xml:space="preserve">12.9.7 Caso o vencedor do menor preço seja qualificado como microempresa ou empresa de pequeno porte </w:t>
      </w:r>
      <w:r>
        <w:rPr>
          <w:rFonts w:cs="Verdana" w:ascii="Verdana" w:hAnsi="Verdana"/>
          <w:b w:val="false"/>
          <w:bCs w:val="false"/>
          <w:color w:val="000000"/>
          <w:sz w:val="20"/>
          <w:szCs w:val="20"/>
          <w:lang w:eastAsia="en-US"/>
        </w:rPr>
        <w:t>deverá apresentar toda a documentação exigida para efeito de</w:t>
      </w:r>
      <w:r>
        <w:rPr>
          <w:rFonts w:cs="Verdana" w:ascii="Verdana" w:hAnsi="Verdana"/>
          <w:color w:val="000000"/>
          <w:sz w:val="20"/>
          <w:szCs w:val="20"/>
          <w:lang w:eastAsia="en-US"/>
        </w:rPr>
        <w:t xml:space="preserve"> comprovação de regularidade fiscal, mesmo que esta apresente alguma restrição, sob pena de inabilitação.</w:t>
      </w:r>
    </w:p>
    <w:p>
      <w:pPr>
        <w:pStyle w:val="ListParagraph"/>
        <w:spacing w:lineRule="auto" w:line="360" w:before="113" w:after="113"/>
        <w:ind w:hanging="0" w:left="0" w:right="0"/>
        <w:contextualSpacing w:val="false"/>
        <w:jc w:val="both"/>
        <w:rPr/>
      </w:pPr>
      <w:r>
        <w:rPr>
          <w:rFonts w:cs="Verdana" w:ascii="Verdana" w:hAnsi="Verdana"/>
          <w:b/>
          <w:color w:val="000000"/>
          <w:sz w:val="20"/>
          <w:szCs w:val="20"/>
        </w:rPr>
        <w:t>12.10 Qualificação Econômico-Financeira</w:t>
      </w:r>
    </w:p>
    <w:p>
      <w:pPr>
        <w:pStyle w:val="Normal"/>
        <w:tabs>
          <w:tab w:val="clear" w:pos="708"/>
          <w:tab w:val="left" w:pos="850" w:leader="none"/>
        </w:tabs>
        <w:spacing w:lineRule="auto" w:line="360" w:before="113" w:after="113"/>
        <w:ind w:hanging="0" w:left="0"/>
        <w:jc w:val="both"/>
        <w:rPr/>
      </w:pPr>
      <w:r>
        <w:rPr>
          <w:rFonts w:cs="Verdana" w:ascii="Verdana" w:hAnsi="Verdana"/>
          <w:b w:val="false"/>
          <w:bCs w:val="false"/>
          <w:color w:val="000000"/>
          <w:sz w:val="20"/>
          <w:szCs w:val="20"/>
        </w:rPr>
        <w:t>12.10.1 Certidão negativa de falência, recuperação judicial e extrajudicial, expedida pelo cartório distribuidor da sede da Licitante ou por meio digital, emitida em até 30 (trinta) dias anteriores à data de abertura da Licitação;</w:t>
      </w:r>
    </w:p>
    <w:p>
      <w:pPr>
        <w:pStyle w:val="Normal"/>
        <w:tabs>
          <w:tab w:val="clear" w:pos="708"/>
          <w:tab w:val="left" w:pos="850" w:leader="none"/>
        </w:tabs>
        <w:spacing w:lineRule="auto" w:line="360" w:before="113" w:after="113"/>
        <w:ind w:hanging="0" w:left="0"/>
        <w:jc w:val="both"/>
        <w:rPr/>
      </w:pPr>
      <w:r>
        <w:rPr>
          <w:rFonts w:cs="Verdana" w:ascii="Verdana" w:hAnsi="Verdana"/>
          <w:b w:val="false"/>
          <w:bCs w:val="false"/>
          <w:color w:val="000000"/>
          <w:sz w:val="20"/>
          <w:szCs w:val="20"/>
        </w:rPr>
        <w:t>12.10.2 Havendo algum prazo de validade estabelecido por cartório na certidão citada na letra anterior, será considerado o prazo constante da certidão para comprovação da sua validade.</w:t>
      </w:r>
    </w:p>
    <w:p>
      <w:pPr>
        <w:pStyle w:val="Normal"/>
        <w:tabs>
          <w:tab w:val="clear" w:pos="708"/>
          <w:tab w:val="left" w:pos="850" w:leader="none"/>
        </w:tabs>
        <w:spacing w:lineRule="auto" w:line="360" w:before="113" w:after="113"/>
        <w:ind w:hanging="0" w:left="0" w:right="0"/>
        <w:jc w:val="both"/>
        <w:rPr/>
      </w:pPr>
      <w:r>
        <w:rPr>
          <w:rFonts w:cs="Verdana" w:ascii="Verdana" w:hAnsi="Verdana"/>
          <w:b w:val="false"/>
          <w:bCs w:val="false"/>
          <w:sz w:val="20"/>
          <w:szCs w:val="20"/>
        </w:rPr>
        <w:t>12.10.3 Para a contagem do prazo estabelecido na letra “a” deste capítulo, será contado a partir do primeiro dia que antecede a data da realização desta licitação.</w:t>
      </w:r>
    </w:p>
    <w:p>
      <w:pPr>
        <w:pStyle w:val="Normal"/>
        <w:tabs>
          <w:tab w:val="clear" w:pos="708"/>
          <w:tab w:val="left" w:pos="850" w:leader="none"/>
        </w:tabs>
        <w:spacing w:lineRule="auto" w:line="360" w:before="113" w:after="113"/>
        <w:ind w:hanging="0" w:left="0" w:right="0"/>
        <w:jc w:val="both"/>
        <w:rPr/>
      </w:pPr>
      <w:r>
        <w:rPr>
          <w:rFonts w:cs="Verdana" w:ascii="Verdana" w:hAnsi="Verdana"/>
          <w:b w:val="false"/>
          <w:bCs w:val="false"/>
          <w:color w:val="000000"/>
          <w:sz w:val="20"/>
          <w:szCs w:val="20"/>
          <w:lang w:eastAsia="en-US"/>
        </w:rPr>
        <w:t xml:space="preserve">12.10.4 </w:t>
      </w:r>
      <w:r>
        <w:rPr>
          <w:rFonts w:cs="Verdana" w:ascii="Verdana" w:hAnsi="Verdana"/>
          <w:color w:val="000000"/>
          <w:sz w:val="20"/>
          <w:szCs w:val="20"/>
          <w:lang w:eastAsia="en-US"/>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Normal"/>
        <w:spacing w:lineRule="auto" w:line="360" w:before="113" w:after="113"/>
        <w:ind w:hanging="0" w:left="0" w:right="0"/>
        <w:rPr/>
      </w:pPr>
      <w:r>
        <w:rPr>
          <w:rFonts w:cs="Times New Roman" w:ascii="Verdana" w:hAnsi="Verdana"/>
          <w:b/>
          <w:bCs/>
          <w:sz w:val="20"/>
          <w:szCs w:val="20"/>
        </w:rPr>
        <w:t>13.</w:t>
      </w:r>
      <w:r>
        <w:rPr>
          <w:rFonts w:cs="Arial" w:ascii="Verdana" w:hAnsi="Verdana"/>
          <w:b/>
          <w:bCs/>
          <w:sz w:val="20"/>
          <w:szCs w:val="20"/>
        </w:rPr>
        <w:t xml:space="preserve"> RESULTADOS PRETENDIDOS COM A CONTRATAÇÃO</w:t>
      </w:r>
    </w:p>
    <w:p>
      <w:pPr>
        <w:pStyle w:val="Normal"/>
        <w:spacing w:lineRule="auto" w:line="360" w:before="113" w:after="113"/>
        <w:ind w:hanging="0" w:left="0"/>
        <w:jc w:val="both"/>
        <w:rPr/>
      </w:pPr>
      <w:r>
        <w:rPr>
          <w:rFonts w:cs="Arial" w:ascii="Verdana" w:hAnsi="Verdana"/>
          <w:b w:val="false"/>
          <w:bCs w:val="false"/>
          <w:sz w:val="20"/>
          <w:szCs w:val="20"/>
        </w:rPr>
        <w:t xml:space="preserve">13.1. Os resultados pretendidos com a contratação tem como garantir </w:t>
      </w:r>
      <w:r>
        <w:rPr>
          <w:rFonts w:eastAsia="Times New Roman" w:cs="Arial" w:ascii="Verdana" w:hAnsi="Verdana"/>
          <w:b w:val="false"/>
          <w:bCs w:val="false"/>
          <w:color w:val="auto"/>
          <w:kern w:val="0"/>
          <w:sz w:val="20"/>
          <w:szCs w:val="20"/>
          <w:lang w:val="pt-BR" w:eastAsia="zh-CN" w:bidi="ar-SA"/>
        </w:rPr>
        <w:t>o preparo de refeições de qualidade proporcionando segurança alimentar às crianças e adolescentes do Abrigo Luz</w:t>
      </w:r>
      <w:r>
        <w:rPr>
          <w:rFonts w:cs="Arial" w:ascii="Verdana" w:hAnsi="Verdana"/>
          <w:b w:val="false"/>
          <w:bCs w:val="false"/>
          <w:sz w:val="20"/>
          <w:szCs w:val="20"/>
        </w:rPr>
        <w:t xml:space="preserve">. </w:t>
      </w:r>
    </w:p>
    <w:p>
      <w:pPr>
        <w:pStyle w:val="Normal"/>
        <w:spacing w:lineRule="auto" w:line="240" w:before="113" w:after="113"/>
        <w:ind w:hanging="0" w:left="0" w:right="0"/>
        <w:rPr>
          <w:rFonts w:ascii="Verdana" w:hAnsi="Verdana" w:cs="Times New Roman"/>
          <w:b/>
          <w:bCs/>
          <w:sz w:val="20"/>
          <w:szCs w:val="20"/>
        </w:rPr>
      </w:pPr>
      <w:r>
        <w:rPr>
          <w:rFonts w:cs="Times New Roman" w:ascii="Verdana" w:hAnsi="Verdana"/>
          <w:b/>
          <w:bCs/>
          <w:sz w:val="20"/>
          <w:szCs w:val="20"/>
        </w:rPr>
      </w:r>
    </w:p>
    <w:p>
      <w:pPr>
        <w:pStyle w:val="Normal"/>
        <w:spacing w:lineRule="auto" w:line="360" w:before="113" w:after="113"/>
        <w:ind w:hanging="0" w:left="0" w:right="0"/>
        <w:rPr/>
      </w:pPr>
      <w:r>
        <w:rPr>
          <w:rFonts w:cs="Times New Roman" w:ascii="Verdana" w:hAnsi="Verdana"/>
          <w:b/>
          <w:bCs/>
          <w:sz w:val="20"/>
          <w:szCs w:val="20"/>
        </w:rPr>
        <w:t xml:space="preserve">14. ADEQUAÇÃO ORÇAMENTÁRIA </w:t>
      </w:r>
    </w:p>
    <w:p>
      <w:pPr>
        <w:pStyle w:val="ListParagraph"/>
        <w:spacing w:lineRule="auto" w:line="360" w:before="113" w:after="113"/>
        <w:ind w:hanging="0" w:left="0" w:right="0"/>
        <w:contextualSpacing w:val="false"/>
        <w:jc w:val="both"/>
        <w:rPr/>
      </w:pPr>
      <w:r>
        <w:rPr>
          <w:rFonts w:ascii="Verdana" w:hAnsi="Verdana"/>
          <w:b w:val="false"/>
          <w:bCs w:val="false"/>
          <w:sz w:val="20"/>
          <w:szCs w:val="20"/>
        </w:rPr>
        <w:t>14.1.</w:t>
      </w:r>
      <w:r>
        <w:rPr>
          <w:rFonts w:ascii="Verdana" w:hAnsi="Verdana"/>
          <w:b/>
          <w:bCs/>
          <w:sz w:val="20"/>
          <w:szCs w:val="20"/>
        </w:rPr>
        <w:t xml:space="preserve"> </w:t>
      </w:r>
      <w:r>
        <w:rPr>
          <w:rFonts w:ascii="Verdana" w:hAnsi="Verdana"/>
          <w:sz w:val="20"/>
          <w:szCs w:val="20"/>
        </w:rPr>
        <w:t xml:space="preserve">As despesas decorrentes da presente </w:t>
      </w:r>
      <w:r>
        <w:rPr>
          <w:rFonts w:eastAsia="Times New Roman" w:cs="Times New Roman" w:ascii="Verdana" w:hAnsi="Verdana"/>
          <w:sz w:val="20"/>
          <w:szCs w:val="20"/>
        </w:rPr>
        <w:t>aquisição</w:t>
      </w:r>
      <w:r>
        <w:rPr>
          <w:rFonts w:ascii="Verdana" w:hAnsi="Verdana"/>
          <w:sz w:val="20"/>
          <w:szCs w:val="20"/>
        </w:rPr>
        <w:t xml:space="preserve"> correrão à conta de recursos específicos consignados no Lei Orçamentária Anual, bem como requisição do sistema presente nos autos, sendo a </w:t>
      </w:r>
      <w:r>
        <w:rPr>
          <w:rFonts w:eastAsia="Times New Roman" w:cs="Times New Roman" w:ascii="Verdana" w:hAnsi="Verdana"/>
          <w:sz w:val="20"/>
          <w:szCs w:val="20"/>
        </w:rPr>
        <w:t>aquisição</w:t>
      </w:r>
      <w:r>
        <w:rPr>
          <w:rFonts w:ascii="Verdana" w:hAnsi="Verdana"/>
          <w:sz w:val="20"/>
          <w:szCs w:val="20"/>
        </w:rPr>
        <w:t xml:space="preserve"> será atendida pelas seguintes dotações:</w:t>
      </w:r>
      <w:r>
        <w:rPr>
          <w:rFonts w:cs="Arial" w:ascii="Verdana" w:hAnsi="Verdana"/>
          <w:b/>
          <w:sz w:val="20"/>
          <w:szCs w:val="20"/>
          <w:u w:val="single"/>
        </w:rPr>
        <w:t xml:space="preserve"> </w:t>
      </w:r>
      <w:r>
        <w:rPr>
          <w:rFonts w:cs="Arial" w:ascii="Verdana" w:hAnsi="Verdana"/>
          <w:sz w:val="20"/>
          <w:szCs w:val="20"/>
        </w:rPr>
        <w:t>FICHA – FON</w:t>
      </w:r>
      <w:r>
        <w:rPr>
          <w:rFonts w:cs="Arial" w:ascii="Verdana" w:hAnsi="Verdana"/>
          <w:sz w:val="20"/>
          <w:szCs w:val="20"/>
          <w:u w:val="none"/>
        </w:rPr>
        <w:t>TE: 00375</w:t>
      </w:r>
      <w:r>
        <w:rPr>
          <w:rFonts w:eastAsia="Times New Roman" w:cs="Arial" w:ascii="Verdana" w:hAnsi="Verdana"/>
          <w:sz w:val="20"/>
          <w:szCs w:val="20"/>
          <w:u w:val="none"/>
        </w:rPr>
        <w:t>-</w:t>
      </w:r>
      <w:r>
        <w:rPr>
          <w:rFonts w:cs="Arial" w:ascii="Verdana" w:hAnsi="Verdana"/>
          <w:sz w:val="20"/>
          <w:szCs w:val="20"/>
          <w:u w:val="none"/>
        </w:rPr>
        <w:t>166</w:t>
      </w:r>
      <w:r>
        <w:rPr>
          <w:rFonts w:eastAsia="Times New Roman" w:cs="Arial" w:ascii="Verdana" w:hAnsi="Verdana"/>
          <w:sz w:val="20"/>
          <w:szCs w:val="20"/>
          <w:u w:val="none"/>
        </w:rPr>
        <w:t xml:space="preserve">000000009999no valor estimado de </w:t>
      </w:r>
      <w:r>
        <w:rPr>
          <w:rFonts w:eastAsia="Times New Roman" w:cs="Times New Roman" w:ascii="Verdana" w:hAnsi="Verdana"/>
          <w:b w:val="false"/>
          <w:bCs w:val="false"/>
          <w:i w:val="false"/>
          <w:iCs w:val="false"/>
          <w:color w:val="000000"/>
          <w:sz w:val="20"/>
          <w:szCs w:val="20"/>
          <w:u w:val="none"/>
          <w:lang w:eastAsia="zh-CN"/>
        </w:rPr>
        <w:t xml:space="preserve">R$ 7.440,75 </w:t>
      </w:r>
      <w:r>
        <w:rPr>
          <w:rFonts w:eastAsia="Times New Roman" w:cs="Arial" w:ascii="Verdana" w:hAnsi="Verdana"/>
          <w:b w:val="false"/>
          <w:bCs w:val="false"/>
          <w:i w:val="false"/>
          <w:iCs w:val="false"/>
          <w:color w:val="000000"/>
          <w:sz w:val="20"/>
          <w:szCs w:val="20"/>
          <w:u w:val="none"/>
          <w:lang w:eastAsia="zh-CN"/>
        </w:rPr>
        <w:t>(sete mil quatrocentos e quarenta reais e setenta e cinco centavos).</w:t>
      </w:r>
    </w:p>
    <w:p>
      <w:pPr>
        <w:pStyle w:val="ListParagraph"/>
        <w:spacing w:lineRule="auto" w:line="240" w:before="113" w:after="113"/>
        <w:ind w:hanging="0" w:left="0" w:right="0"/>
        <w:contextualSpacing w:val="false"/>
        <w:jc w:val="both"/>
        <w:rPr>
          <w:rFonts w:ascii="Verdana" w:hAnsi="Verdana" w:cs="Arial"/>
          <w:b/>
          <w:sz w:val="20"/>
          <w:szCs w:val="20"/>
          <w:u w:val="single"/>
        </w:rPr>
      </w:pPr>
      <w:r>
        <w:rPr>
          <w:rFonts w:cs="Arial" w:ascii="Verdana" w:hAnsi="Verdana"/>
          <w:b/>
          <w:sz w:val="20"/>
          <w:szCs w:val="20"/>
          <w:u w:val="single"/>
        </w:rPr>
      </w:r>
    </w:p>
    <w:p>
      <w:pPr>
        <w:pStyle w:val="Normal"/>
        <w:spacing w:lineRule="auto" w:line="360" w:before="113" w:after="113"/>
        <w:ind w:hanging="0" w:left="0"/>
        <w:jc w:val="both"/>
        <w:rPr/>
      </w:pPr>
      <w:r>
        <w:rPr>
          <w:rFonts w:cs="Arial" w:ascii="Verdana" w:hAnsi="Verdana"/>
          <w:b/>
          <w:bCs/>
          <w:color w:val="000000"/>
          <w:sz w:val="20"/>
          <w:szCs w:val="20"/>
        </w:rPr>
        <w:t>15. DOS RESPONSÁVEIS PELA ELABORAÇÃO DO TERMO DE REFERÊNCIA</w:t>
      </w:r>
    </w:p>
    <w:p>
      <w:pPr>
        <w:pStyle w:val="Normal"/>
        <w:spacing w:lineRule="auto" w:line="360" w:before="113" w:after="113"/>
        <w:ind w:hanging="0" w:left="0"/>
        <w:jc w:val="both"/>
        <w:rPr/>
      </w:pPr>
      <w:r>
        <w:rPr>
          <w:rFonts w:cs="Arial" w:ascii="Verdana" w:hAnsi="Verdana"/>
          <w:b w:val="false"/>
          <w:bCs w:val="false"/>
          <w:color w:val="000000"/>
          <w:sz w:val="20"/>
          <w:szCs w:val="20"/>
        </w:rPr>
        <w:t>15.1. A compilação d</w:t>
      </w:r>
      <w:r>
        <w:rPr>
          <w:rFonts w:eastAsia="Times New Roman" w:cs="Arial" w:ascii="Verdana" w:hAnsi="Verdana"/>
          <w:b w:val="false"/>
          <w:bCs w:val="false"/>
          <w:color w:val="000000"/>
          <w:sz w:val="20"/>
          <w:szCs w:val="20"/>
        </w:rPr>
        <w:t>e parte das</w:t>
      </w:r>
      <w:r>
        <w:rPr>
          <w:rFonts w:cs="Arial" w:ascii="Verdana" w:hAnsi="Verdana"/>
          <w:b w:val="false"/>
          <w:bCs w:val="false"/>
          <w:color w:val="000000"/>
          <w:sz w:val="20"/>
          <w:szCs w:val="20"/>
        </w:rPr>
        <w:t xml:space="preserve"> informações mencionados </w:t>
      </w:r>
      <w:r>
        <w:rPr>
          <w:rFonts w:eastAsia="Times New Roman" w:cs="Arial" w:ascii="Verdana" w:hAnsi="Verdana"/>
          <w:b w:val="false"/>
          <w:bCs w:val="false"/>
          <w:color w:val="000000"/>
          <w:sz w:val="20"/>
          <w:szCs w:val="20"/>
        </w:rPr>
        <w:t>na</w:t>
      </w:r>
      <w:r>
        <w:rPr>
          <w:rFonts w:cs="Arial" w:ascii="Verdana" w:hAnsi="Verdana"/>
          <w:b w:val="false"/>
          <w:bCs w:val="false"/>
          <w:color w:val="000000"/>
          <w:sz w:val="20"/>
          <w:szCs w:val="20"/>
        </w:rPr>
        <w:t xml:space="preserve"> elaboração deste Termo de Referência foram estruturadas através do ETP – Estudo Técnico Preliminar elaborado pela secretaria requisitante.</w:t>
      </w:r>
    </w:p>
    <w:p>
      <w:pPr>
        <w:pStyle w:val="Normal"/>
        <w:spacing w:lineRule="auto" w:line="360" w:before="113" w:after="113"/>
        <w:ind w:hanging="0" w:left="0"/>
        <w:jc w:val="both"/>
        <w:rPr>
          <w:rFonts w:ascii="Verdana" w:hAnsi="Verdana" w:cs="Arial"/>
          <w:b/>
          <w:sz w:val="20"/>
          <w:szCs w:val="20"/>
          <w:u w:val="single"/>
        </w:rPr>
      </w:pPr>
      <w:r>
        <w:rPr>
          <w:rFonts w:cs="Arial" w:ascii="Verdana" w:hAnsi="Verdana"/>
          <w:b/>
          <w:sz w:val="20"/>
          <w:szCs w:val="20"/>
          <w:u w:val="single"/>
        </w:rPr>
      </w:r>
    </w:p>
    <w:p>
      <w:pPr>
        <w:pStyle w:val="Normal"/>
        <w:spacing w:lineRule="auto" w:line="360" w:before="113" w:after="113"/>
        <w:ind w:hanging="0" w:left="0"/>
        <w:jc w:val="right"/>
        <w:rPr/>
      </w:pPr>
      <w:r>
        <w:rPr>
          <w:rFonts w:ascii="Verdana" w:hAnsi="Verdana"/>
          <w:sz w:val="20"/>
          <w:szCs w:val="20"/>
        </w:rPr>
        <w:t xml:space="preserve">São Gabriel da Palha, </w:t>
      </w:r>
      <w:r>
        <w:rPr>
          <w:rFonts w:ascii="Verdana" w:hAnsi="Verdana"/>
          <w:sz w:val="20"/>
          <w:szCs w:val="20"/>
        </w:rPr>
        <w:t>15 de agosto</w:t>
      </w:r>
      <w:r>
        <w:rPr>
          <w:rFonts w:ascii="Verdana" w:hAnsi="Verdana"/>
          <w:sz w:val="20"/>
          <w:szCs w:val="20"/>
        </w:rPr>
        <w:t xml:space="preserve"> de 2024</w:t>
      </w:r>
    </w:p>
    <w:p>
      <w:pPr>
        <w:pStyle w:val="Normal"/>
        <w:spacing w:lineRule="auto" w:line="360" w:before="113" w:after="113"/>
        <w:ind w:hanging="0" w:left="0"/>
        <w:jc w:val="both"/>
        <w:rPr/>
      </w:pPr>
      <w:r>
        <w:rPr>
          <w:rFonts w:cs="Arial" w:ascii="Verdana" w:hAnsi="Verdana"/>
          <w:b/>
          <w:bCs/>
          <w:sz w:val="20"/>
          <w:szCs w:val="20"/>
        </w:rPr>
        <w:t>Elaborado por:</w:t>
      </w:r>
    </w:p>
    <w:p>
      <w:pPr>
        <w:pStyle w:val="Normal"/>
        <w:spacing w:lineRule="auto" w:line="360" w:before="113" w:after="113"/>
        <w:ind w:hanging="0" w:left="0"/>
        <w:jc w:val="both"/>
        <w:rPr>
          <w:rFonts w:ascii="Verdana" w:hAnsi="Verdana" w:cs="Arial"/>
          <w:b/>
          <w:bCs/>
          <w:color w:val="000000"/>
          <w:sz w:val="20"/>
          <w:szCs w:val="20"/>
        </w:rPr>
      </w:pPr>
      <w:r>
        <w:rPr>
          <w:rFonts w:cs="Arial" w:ascii="Verdana" w:hAnsi="Verdana"/>
          <w:b/>
          <w:bCs/>
          <w:color w:val="000000"/>
          <w:sz w:val="20"/>
          <w:szCs w:val="20"/>
        </w:rPr>
      </w:r>
    </w:p>
    <w:p>
      <w:pPr>
        <w:pStyle w:val="Normal"/>
        <w:spacing w:lineRule="auto" w:line="360" w:before="56" w:after="56"/>
        <w:ind w:hanging="0" w:left="0"/>
        <w:jc w:val="both"/>
        <w:rPr>
          <w:b/>
          <w:bCs/>
        </w:rPr>
      </w:pPr>
      <w:r>
        <w:rPr>
          <w:rFonts w:ascii="Verdana" w:hAnsi="Verdana"/>
          <w:b/>
          <w:bCs/>
          <w:sz w:val="20"/>
          <w:szCs w:val="20"/>
        </w:rPr>
        <w:t>RODOLFO ANTÔNIO DA SILVA NETO</w:t>
      </w:r>
    </w:p>
    <w:p>
      <w:pPr>
        <w:pStyle w:val="Normal"/>
        <w:spacing w:lineRule="auto" w:line="360" w:before="56" w:after="56"/>
        <w:ind w:hanging="0" w:left="0"/>
        <w:jc w:val="both"/>
        <w:rPr/>
      </w:pPr>
      <w:r>
        <w:rPr>
          <w:rFonts w:ascii="Verdana" w:hAnsi="Verdana"/>
          <w:b w:val="false"/>
          <w:bCs w:val="false"/>
          <w:sz w:val="20"/>
          <w:szCs w:val="20"/>
        </w:rPr>
        <w:t>Auxiliar Administrativo</w:t>
      </w:r>
    </w:p>
    <w:p>
      <w:pPr>
        <w:pStyle w:val="Normal"/>
        <w:spacing w:lineRule="auto" w:line="360" w:before="56" w:after="56"/>
        <w:ind w:hanging="0" w:left="0"/>
        <w:jc w:val="both"/>
        <w:rPr/>
      </w:pPr>
      <w:r>
        <w:rPr>
          <w:rFonts w:ascii="Verdana" w:hAnsi="Verdana"/>
          <w:b w:val="false"/>
          <w:bCs w:val="false"/>
          <w:sz w:val="20"/>
          <w:szCs w:val="20"/>
        </w:rPr>
        <w:t>Mat. nº 000406</w:t>
      </w:r>
    </w:p>
    <w:p>
      <w:pPr>
        <w:pStyle w:val="Normal"/>
        <w:spacing w:lineRule="auto" w:line="360" w:before="56" w:after="56"/>
        <w:ind w:hanging="0" w:left="0"/>
        <w:jc w:val="both"/>
        <w:rPr>
          <w:rFonts w:ascii="Verdana" w:hAnsi="Verdana" w:cs="Arial"/>
          <w:b/>
          <w:bCs/>
          <w:color w:val="000000"/>
          <w:sz w:val="20"/>
          <w:szCs w:val="20"/>
        </w:rPr>
      </w:pPr>
      <w:r>
        <w:rPr>
          <w:rFonts w:cs="Arial" w:ascii="Verdana" w:hAnsi="Verdana"/>
          <w:b/>
          <w:bCs/>
          <w:color w:val="000000"/>
          <w:sz w:val="20"/>
          <w:szCs w:val="20"/>
        </w:rPr>
      </w:r>
    </w:p>
    <w:p>
      <w:pPr>
        <w:pStyle w:val="Normal"/>
        <w:spacing w:lineRule="auto" w:line="360" w:before="56" w:after="56"/>
        <w:ind w:hanging="0" w:left="0"/>
        <w:jc w:val="both"/>
        <w:rPr>
          <w:b/>
          <w:bCs/>
        </w:rPr>
      </w:pPr>
      <w:r>
        <w:rPr>
          <w:rFonts w:cs="Arial" w:ascii="Verdana" w:hAnsi="Verdana"/>
          <w:b/>
          <w:bCs/>
          <w:sz w:val="20"/>
          <w:szCs w:val="20"/>
        </w:rPr>
        <w:t>RUTH BARBARA DA SILWA NASCIMENTO</w:t>
      </w:r>
    </w:p>
    <w:p>
      <w:pPr>
        <w:pStyle w:val="Normal"/>
        <w:spacing w:lineRule="auto" w:line="360" w:before="56" w:after="56"/>
        <w:ind w:hanging="0" w:left="0"/>
        <w:jc w:val="both"/>
        <w:rPr/>
      </w:pPr>
      <w:r>
        <w:rPr>
          <w:rFonts w:cs="Arial" w:ascii="Verdana" w:hAnsi="Verdana"/>
          <w:sz w:val="20"/>
          <w:szCs w:val="20"/>
        </w:rPr>
        <w:t xml:space="preserve">Assistente Administrativo </w:t>
      </w:r>
    </w:p>
    <w:p>
      <w:pPr>
        <w:pStyle w:val="Normal"/>
        <w:spacing w:lineRule="auto" w:line="360" w:before="56" w:after="56"/>
        <w:ind w:hanging="0" w:left="0"/>
        <w:jc w:val="both"/>
        <w:rPr/>
      </w:pPr>
      <w:hyperlink r:id="rId9">
        <w:bookmarkStart w:id="7" w:name="_GoBack111"/>
        <w:bookmarkStart w:id="8" w:name="page66R_mcid16"/>
        <w:bookmarkStart w:id="9" w:name="page66R_mcid15"/>
        <w:bookmarkStart w:id="10" w:name="page68R_mcid7"/>
        <w:r>
          <w:rPr>
            <w:rStyle w:val="ListLabel35"/>
            <w:rFonts w:eastAsia="Times New Roman" w:ascii="Verdana" w:hAnsi="Verdana"/>
            <w:sz w:val="20"/>
            <w:szCs w:val="20"/>
          </w:rPr>
          <w:t>Mat. nº 002983</w:t>
        </w:r>
      </w:hyperlink>
      <w:bookmarkEnd w:id="0"/>
      <w:bookmarkEnd w:id="1"/>
      <w:bookmarkEnd w:id="2"/>
      <w:bookmarkEnd w:id="3"/>
      <w:bookmarkEnd w:id="6"/>
      <w:bookmarkEnd w:id="7"/>
      <w:bookmarkEnd w:id="8"/>
      <w:bookmarkEnd w:id="9"/>
      <w:bookmarkEnd w:id="10"/>
    </w:p>
    <w:sectPr>
      <w:headerReference w:type="default" r:id="rId10"/>
      <w:footerReference w:type="default" r:id="rId11"/>
      <w:type w:val="nextPage"/>
      <w:pgSz w:w="11906" w:h="16838"/>
      <w:pgMar w:left="1550" w:right="905" w:gutter="0" w:header="227" w:top="851" w:footer="393" w:bottom="753"/>
      <w:pgNumType w:fmt="decimal"/>
      <w:formProt w:val="false"/>
      <w:textDirection w:val="lrTb"/>
      <w:docGrid w:type="default" w:linePitch="326"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mbria">
    <w:charset w:val="00"/>
    <w:family w:val="roman"/>
    <w:pitch w:val="variable"/>
  </w:font>
  <w:font w:name="Arial">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 w:name="Ecofont_Spranq_eco_Sans">
    <w:charset w:val="00"/>
    <w:family w:val="roman"/>
    <w:pitch w:val="variable"/>
  </w:font>
  <w:font w:name="Verdana">
    <w:charset w:val="00"/>
    <w:family w:val="roman"/>
    <w:pitch w:val="variable"/>
  </w:font>
  <w:font w:name="Arial Narrow">
    <w:charset w:val="00"/>
    <w:family w:val="roman"/>
    <w:pitch w:val="variable"/>
  </w:font>
  <w:font w:name="Tahoma">
    <w:charset w:val="00"/>
    <w:family w:val="roman"/>
    <w:pitch w:val="variable"/>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pBdr>
        <w:top w:val="single" w:sz="4" w:space="1" w:color="000000"/>
      </w:pBdr>
      <w:tabs>
        <w:tab w:val="left" w:pos="540" w:leader="none"/>
        <w:tab w:val="center" w:pos="4419" w:leader="none"/>
        <w:tab w:val="center" w:pos="4536" w:leader="none"/>
        <w:tab w:val="right" w:pos="8838" w:leader="none"/>
      </w:tabs>
      <w:jc w:val="center"/>
      <w:rPr>
        <w:rFonts w:ascii="Tahoma" w:hAnsi="Tahoma" w:cs="Tahoma"/>
        <w:sz w:val="16"/>
        <w:szCs w:val="16"/>
      </w:rPr>
    </w:pPr>
    <w:r>
      <w:rPr>
        <w:rStyle w:val="Pagenumber"/>
        <w:rFonts w:cs="Tahoma" w:ascii="Tahoma" w:hAnsi="Tahoma"/>
        <w:sz w:val="16"/>
        <w:szCs w:val="16"/>
      </w:rPr>
      <w:t xml:space="preserve">Praça Vicente Glazar, 159 | São Gabriel da Palha-ES | CEP 29780 000  </w:t>
    </w:r>
  </w:p>
  <w:p>
    <w:pPr>
      <w:pStyle w:val="Footer"/>
      <w:pBdr>
        <w:top w:val="single" w:sz="4" w:space="1" w:color="000000"/>
      </w:pBdr>
      <w:jc w:val="center"/>
      <w:rPr>
        <w:rFonts w:ascii="Tahoma" w:hAnsi="Tahoma" w:cs="Tahoma"/>
        <w:sz w:val="16"/>
        <w:szCs w:val="16"/>
      </w:rPr>
    </w:pPr>
    <w:r>
      <w:rPr>
        <w:rStyle w:val="Pagenumber"/>
        <w:rFonts w:cs="Tahoma" w:ascii="Tahoma" w:hAnsi="Tahoma"/>
        <w:sz w:val="16"/>
        <w:szCs w:val="16"/>
      </w:rPr>
      <w:t>Fone/Fax (027) 3727-1366 | E-mail: compras@saogabriel.es.gov.br</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Verdana" w:hAnsi="Verdana"/>
        <w:sz w:val="26"/>
        <w:szCs w:val="26"/>
      </w:rPr>
    </w:pPr>
    <w:r>
      <w:rPr>
        <w:rFonts w:ascii="Verdana" w:hAnsi="Verdana"/>
        <w:sz w:val="26"/>
        <w:szCs w:val="26"/>
      </w:rPr>
    </w:r>
  </w:p>
  <w:p>
    <w:pPr>
      <w:pStyle w:val="Normal"/>
      <w:rPr>
        <w:rFonts w:ascii="Verdana" w:hAnsi="Verdana"/>
        <w:sz w:val="26"/>
        <w:szCs w:val="26"/>
      </w:rPr>
    </w:pPr>
    <w:r>
      <w:rPr>
        <w:rFonts w:ascii="Verdana" w:hAnsi="Verdana"/>
        <w:sz w:val="26"/>
        <w:szCs w:val="26"/>
      </w:rPr>
      <w:drawing>
        <wp:anchor behindDoc="1" distT="0" distB="0" distL="114300" distR="114300" simplePos="0" locked="0" layoutInCell="0" allowOverlap="1" relativeHeight="15">
          <wp:simplePos x="0" y="0"/>
          <wp:positionH relativeFrom="column">
            <wp:posOffset>-137160</wp:posOffset>
          </wp:positionH>
          <wp:positionV relativeFrom="paragraph">
            <wp:posOffset>83820</wp:posOffset>
          </wp:positionV>
          <wp:extent cx="647700" cy="542925"/>
          <wp:effectExtent l="0" t="0" r="0" b="0"/>
          <wp:wrapSquare wrapText="bothSides"/>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pPr>
      <w:pStyle w:val="Normal"/>
      <w:jc w:val="center"/>
      <w:rPr>
        <w:rFonts w:ascii="Arial Narrow" w:hAnsi="Arial Narrow"/>
        <w:b/>
        <w:sz w:val="20"/>
      </w:rPr>
    </w:pPr>
    <w:r>
      <w:rPr>
        <w:rFonts w:ascii="Verdana" w:hAnsi="Verdana"/>
        <w:sz w:val="26"/>
        <w:szCs w:val="26"/>
      </w:rPr>
      <w:t>PREFEITURA MUNICIPAL DE SÃO GABRIEL DA PALHA</w:t>
    </w:r>
    <w:r>
      <w:rPr>
        <w:rFonts w:ascii="Verdana" w:hAnsi="Verdana"/>
        <w:b/>
        <w:sz w:val="26"/>
        <w:szCs w:val="26"/>
      </w:rPr>
      <w:br/>
    </w:r>
    <w:r>
      <w:rPr>
        <w:rFonts w:ascii="Calibri" w:hAnsi="Calibri"/>
        <w:sz w:val="16"/>
        <w:szCs w:val="16"/>
      </w:rPr>
      <w:t>ESTADO DO ESPÍRITO SANTO</w:t>
    </w:r>
    <w:r>
      <w:rPr>
        <w:rFonts w:ascii="Verdana" w:hAnsi="Verdana"/>
        <w:b/>
        <w:sz w:val="22"/>
        <w:szCs w:val="22"/>
      </w:rPr>
      <w:t xml:space="preserve"> </w:t>
      <w:br/>
    </w:r>
    <w:r>
      <w:rPr>
        <w:rFonts w:ascii="Arial Narrow" w:hAnsi="Arial Narrow"/>
        <w:b/>
        <w:sz w:val="20"/>
      </w:rPr>
      <w:t>Departamento De Compras e Contratos</w:t>
    </w:r>
  </w:p>
  <w:p>
    <w:pPr>
      <w:pStyle w:val="Normal"/>
      <w:jc w:val="center"/>
      <w:rPr>
        <w:rFonts w:ascii="Arial Narrow" w:hAnsi="Arial Narrow"/>
        <w:b/>
        <w:sz w:val="20"/>
      </w:rPr>
    </w:pPr>
    <w:r>
      <w:rPr>
        <w:rFonts w:ascii="Arial Narrow" w:hAnsi="Arial Narrow"/>
        <w:b/>
        <w:sz w:val="20"/>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720"/>
        </w:tabs>
        <w:ind w:left="720" w:hanging="360"/>
      </w:pPr>
      <w:rPr>
        <w:sz w:val="20"/>
        <w:b/>
        <w:szCs w:val="20"/>
        <w:bCs/>
        <w:rFonts w:ascii="Verdana" w:hAnsi="Verdana"/>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
    <w:lvl w:ilvl="0">
      <w:start w:val="1"/>
      <w:numFmt w:val="bullet"/>
      <w:lvlText w:val=""/>
      <w:lvlJc w:val="left"/>
      <w:pPr>
        <w:tabs>
          <w:tab w:val="num" w:pos="720"/>
        </w:tabs>
        <w:ind w:left="720" w:hanging="360"/>
      </w:pPr>
      <w:rPr>
        <w:rFonts w:ascii="Symbol" w:hAnsi="Symbol" w:cs="Symbol" w:hint="default"/>
        <w:sz w:val="21"/>
        <w:szCs w:val="21"/>
      </w:rPr>
    </w:lvl>
    <w:lvl w:ilvl="1">
      <w:start w:val="1"/>
      <w:numFmt w:val="bullet"/>
      <w:lvlText w:val="◦"/>
      <w:lvlJc w:val="left"/>
      <w:pPr>
        <w:tabs>
          <w:tab w:val="num" w:pos="1080"/>
        </w:tabs>
        <w:ind w:left="1080" w:hanging="360"/>
      </w:pPr>
      <w:rPr>
        <w:rFonts w:ascii="OpenSymbol" w:hAnsi="OpenSymbol" w:cs="OpenSymbol" w:hint="default"/>
        <w:sz w:val="21"/>
        <w:szCs w:val="21"/>
      </w:rPr>
    </w:lvl>
    <w:lvl w:ilvl="2">
      <w:start w:val="1"/>
      <w:numFmt w:val="bullet"/>
      <w:lvlText w:val="▪"/>
      <w:lvlJc w:val="left"/>
      <w:pPr>
        <w:tabs>
          <w:tab w:val="num" w:pos="1440"/>
        </w:tabs>
        <w:ind w:left="1440" w:hanging="360"/>
      </w:pPr>
      <w:rPr>
        <w:rFonts w:ascii="OpenSymbol" w:hAnsi="OpenSymbol" w:cs="OpenSymbol" w:hint="default"/>
        <w:sz w:val="21"/>
        <w:szCs w:val="21"/>
      </w:rPr>
    </w:lvl>
    <w:lvl w:ilvl="3">
      <w:start w:val="1"/>
      <w:numFmt w:val="bullet"/>
      <w:lvlText w:val=""/>
      <w:lvlJc w:val="left"/>
      <w:pPr>
        <w:tabs>
          <w:tab w:val="num" w:pos="1800"/>
        </w:tabs>
        <w:ind w:left="1800" w:hanging="360"/>
      </w:pPr>
      <w:rPr>
        <w:rFonts w:ascii="Symbol" w:hAnsi="Symbol" w:cs="Symbol" w:hint="default"/>
        <w:sz w:val="21"/>
        <w:szCs w:val="21"/>
      </w:rPr>
    </w:lvl>
    <w:lvl w:ilvl="4">
      <w:start w:val="1"/>
      <w:numFmt w:val="bullet"/>
      <w:lvlText w:val="◦"/>
      <w:lvlJc w:val="left"/>
      <w:pPr>
        <w:tabs>
          <w:tab w:val="num" w:pos="2160"/>
        </w:tabs>
        <w:ind w:left="2160" w:hanging="360"/>
      </w:pPr>
      <w:rPr>
        <w:rFonts w:ascii="OpenSymbol" w:hAnsi="OpenSymbol" w:cs="OpenSymbol" w:hint="default"/>
        <w:sz w:val="21"/>
        <w:szCs w:val="21"/>
      </w:rPr>
    </w:lvl>
    <w:lvl w:ilvl="5">
      <w:start w:val="1"/>
      <w:numFmt w:val="bullet"/>
      <w:lvlText w:val="▪"/>
      <w:lvlJc w:val="left"/>
      <w:pPr>
        <w:tabs>
          <w:tab w:val="num" w:pos="2520"/>
        </w:tabs>
        <w:ind w:left="2520" w:hanging="360"/>
      </w:pPr>
      <w:rPr>
        <w:rFonts w:ascii="OpenSymbol" w:hAnsi="OpenSymbol" w:cs="OpenSymbol" w:hint="default"/>
        <w:sz w:val="21"/>
        <w:szCs w:val="21"/>
      </w:rPr>
    </w:lvl>
    <w:lvl w:ilvl="6">
      <w:start w:val="1"/>
      <w:numFmt w:val="bullet"/>
      <w:lvlText w:val=""/>
      <w:lvlJc w:val="left"/>
      <w:pPr>
        <w:tabs>
          <w:tab w:val="num" w:pos="2880"/>
        </w:tabs>
        <w:ind w:left="2880" w:hanging="360"/>
      </w:pPr>
      <w:rPr>
        <w:rFonts w:ascii="Symbol" w:hAnsi="Symbol" w:cs="Symbol" w:hint="default"/>
        <w:sz w:val="21"/>
        <w:szCs w:val="21"/>
      </w:rPr>
    </w:lvl>
    <w:lvl w:ilvl="7">
      <w:start w:val="1"/>
      <w:numFmt w:val="bullet"/>
      <w:lvlText w:val="◦"/>
      <w:lvlJc w:val="left"/>
      <w:pPr>
        <w:tabs>
          <w:tab w:val="num" w:pos="3240"/>
        </w:tabs>
        <w:ind w:left="3240" w:hanging="360"/>
      </w:pPr>
      <w:rPr>
        <w:rFonts w:ascii="OpenSymbol" w:hAnsi="OpenSymbol" w:cs="OpenSymbol" w:hint="default"/>
        <w:sz w:val="21"/>
        <w:szCs w:val="21"/>
      </w:rPr>
    </w:lvl>
    <w:lvl w:ilvl="8">
      <w:start w:val="1"/>
      <w:numFmt w:val="bullet"/>
      <w:lvlText w:val="▪"/>
      <w:lvlJc w:val="left"/>
      <w:pPr>
        <w:tabs>
          <w:tab w:val="num" w:pos="3600"/>
        </w:tabs>
        <w:ind w:left="3600" w:hanging="360"/>
      </w:pPr>
      <w:rPr>
        <w:rFonts w:ascii="OpenSymbol" w:hAnsi="OpenSymbol" w:cs="OpenSymbol" w:hint="default"/>
        <w:sz w:val="21"/>
        <w:szCs w:val="21"/>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85"/>
  <w:defaultTabStop w:val="708"/>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ahoma"/>
        <w:sz w:val="22"/>
        <w:szCs w:val="22"/>
        <w:lang w:val="pt-BR" w:eastAsia="en-US" w:bidi="ar-SA"/>
      </w:rPr>
    </w:rPrDefault>
    <w:pPrDefault>
      <w:pPr>
        <w:suppressAutoHyphens w:val="true"/>
      </w:pPr>
    </w:pPrDefault>
  </w:docDefaults>
  <w:style w:type="paragraph" w:styleId="Normal">
    <w:name w:val="Normal"/>
    <w:qFormat/>
    <w:pPr>
      <w:widowControl/>
      <w:suppressAutoHyphens w:val="true"/>
      <w:overflowPunct w:val="false"/>
      <w:bidi w:val="0"/>
      <w:spacing w:before="0" w:after="0"/>
      <w:jc w:val="left"/>
    </w:pPr>
    <w:rPr>
      <w:rFonts w:ascii="Times New Roman" w:hAnsi="Times New Roman" w:eastAsia="Times New Roman" w:cs="Times New Roman"/>
      <w:color w:val="auto"/>
      <w:kern w:val="0"/>
      <w:sz w:val="24"/>
      <w:szCs w:val="20"/>
      <w:lang w:val="pt-BR" w:eastAsia="pt-BR" w:bidi="ar-SA"/>
    </w:rPr>
  </w:style>
  <w:style w:type="paragraph" w:styleId="Heading1">
    <w:name w:val="Heading 1"/>
    <w:basedOn w:val="Normal"/>
    <w:next w:val="Normal"/>
    <w:link w:val="Ttulo1Char"/>
    <w:qFormat/>
    <w:pPr>
      <w:keepNext w:val="true"/>
      <w:keepLines/>
      <w:spacing w:before="480" w:after="0"/>
      <w:outlineLvl w:val="0"/>
    </w:pPr>
    <w:rPr>
      <w:rFonts w:ascii="Cambria" w:hAnsi="Cambria" w:eastAsia="Calibri" w:cs="Tahoma"/>
      <w:b/>
      <w:bCs/>
      <w:color w:themeColor="accent1" w:themeShade="bf" w:val="365F91"/>
      <w:sz w:val="28"/>
      <w:szCs w:val="28"/>
    </w:rPr>
  </w:style>
  <w:style w:type="character" w:styleId="DefaultParagraphFont">
    <w:name w:val="Default Paragraph Font"/>
    <w:qFormat/>
    <w:rPr/>
  </w:style>
  <w:style w:type="character" w:styleId="Pagenumber">
    <w:name w:val="page number"/>
    <w:basedOn w:val="DefaultParagraphFont"/>
    <w:qFormat/>
    <w:rPr/>
  </w:style>
  <w:style w:type="character" w:styleId="CabealhoChar">
    <w:name w:val="Cabeçalho Char"/>
    <w:basedOn w:val="DefaultParagraphFont"/>
    <w:qFormat/>
    <w:rPr>
      <w:rFonts w:ascii="Times New Roman" w:hAnsi="Times New Roman" w:eastAsia="Times New Roman" w:cs="Times New Roman"/>
      <w:sz w:val="24"/>
      <w:szCs w:val="20"/>
      <w:lang w:eastAsia="pt-BR"/>
    </w:rPr>
  </w:style>
  <w:style w:type="character" w:styleId="RodapChar">
    <w:name w:val="Rodapé Char"/>
    <w:basedOn w:val="DefaultParagraphFont"/>
    <w:qFormat/>
    <w:rPr>
      <w:rFonts w:ascii="Times New Roman" w:hAnsi="Times New Roman" w:eastAsia="Times New Roman" w:cs="Times New Roman"/>
      <w:sz w:val="24"/>
      <w:szCs w:val="20"/>
      <w:lang w:eastAsia="pt-BR"/>
    </w:rPr>
  </w:style>
  <w:style w:type="character" w:styleId="A6">
    <w:name w:val="A6"/>
    <w:qFormat/>
    <w:rPr>
      <w:color w:val="000000"/>
      <w:sz w:val="18"/>
      <w:u w:val="single"/>
    </w:rPr>
  </w:style>
  <w:style w:type="character" w:styleId="Hyperlink">
    <w:name w:val="Hyperlink"/>
    <w:rPr>
      <w:color w:val="000080"/>
      <w:u w:val="single"/>
    </w:rPr>
  </w:style>
  <w:style w:type="character" w:styleId="CorpodetextoChar">
    <w:name w:val="Corpo de texto Char"/>
    <w:basedOn w:val="DefaultParagraphFont"/>
    <w:qFormat/>
    <w:rPr>
      <w:rFonts w:ascii="Times New Roman" w:hAnsi="Times New Roman" w:eastAsia="Times New Roman" w:cs="Times New Roman"/>
      <w:sz w:val="24"/>
      <w:szCs w:val="20"/>
      <w:lang w:eastAsia="pt-BR"/>
    </w:rPr>
  </w:style>
  <w:style w:type="character" w:styleId="CitaoChar">
    <w:name w:val="Citação Char"/>
    <w:basedOn w:val="DefaultParagraphFont"/>
    <w:qFormat/>
    <w:rPr>
      <w:rFonts w:ascii="Arial" w:hAnsi="Arial" w:eastAsia="Calibri" w:cs="Tahoma"/>
      <w:i/>
      <w:iCs/>
      <w:color w:val="000000"/>
      <w:sz w:val="20"/>
      <w:szCs w:val="24"/>
      <w:shd w:fill="FFFFCC" w:val="clear"/>
    </w:rPr>
  </w:style>
  <w:style w:type="character" w:styleId="Nivel1Char">
    <w:name w:val="Nivel1 Char"/>
    <w:basedOn w:val="DefaultParagraphFont"/>
    <w:link w:val="Nivel1"/>
    <w:qFormat/>
    <w:rPr>
      <w:rFonts w:ascii="Arial" w:hAnsi="Arial" w:eastAsia="Calibri" w:cs="Arial"/>
      <w:b/>
      <w:color w:val="000000"/>
      <w:sz w:val="32"/>
      <w:szCs w:val="32"/>
    </w:rPr>
  </w:style>
  <w:style w:type="character" w:styleId="Nivel2Char">
    <w:name w:val="Nivel 2 Char"/>
    <w:basedOn w:val="DefaultParagraphFont"/>
    <w:link w:val="Nivel2"/>
    <w:qFormat/>
    <w:rPr>
      <w:rFonts w:ascii="Arial" w:hAnsi="Arial" w:cs="Arial"/>
      <w:color w:val="000000"/>
    </w:rPr>
  </w:style>
  <w:style w:type="character" w:styleId="Strong">
    <w:name w:val="Strong"/>
    <w:qFormat/>
    <w:rPr>
      <w:b/>
      <w:bCs/>
    </w:rPr>
  </w:style>
  <w:style w:type="character" w:styleId="Ttulo1Char">
    <w:name w:val="Título 1 Char"/>
    <w:basedOn w:val="DefaultParagraphFont"/>
    <w:qFormat/>
    <w:rPr>
      <w:rFonts w:ascii="Cambria" w:hAnsi="Cambria" w:eastAsia="Calibri" w:cs="Tahoma"/>
      <w:b/>
      <w:bCs/>
      <w:color w:themeColor="accent1" w:themeShade="bf" w:val="365F91"/>
      <w:sz w:val="28"/>
      <w:szCs w:val="28"/>
      <w:lang w:eastAsia="pt-BR"/>
    </w:rPr>
  </w:style>
  <w:style w:type="character" w:styleId="Marcadores">
    <w:name w:val="Marcadores"/>
    <w:qFormat/>
    <w:rPr>
      <w:rFonts w:ascii="OpenSymbol" w:hAnsi="OpenSymbol" w:eastAsia="OpenSymbol" w:cs="OpenSymbol"/>
      <w:sz w:val="21"/>
      <w:szCs w:val="21"/>
    </w:rPr>
  </w:style>
  <w:style w:type="character" w:styleId="Fontepargpadro">
    <w:name w:val="Fonte parág. padrão"/>
    <w:qFormat/>
    <w:rPr/>
  </w:style>
  <w:style w:type="character" w:styleId="Smbolosdenumerao">
    <w:name w:val="Símbolos de numeração"/>
    <w:qFormat/>
    <w:rPr/>
  </w:style>
  <w:style w:type="paragraph" w:styleId="Ttulo">
    <w:name w:val="Título"/>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CorpodetextoChar"/>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Title">
    <w:name w:val="Title"/>
    <w:basedOn w:val="Normal"/>
    <w:next w:val="BodyText"/>
    <w:qFormat/>
    <w:pPr>
      <w:keepNext w:val="true"/>
      <w:spacing w:before="240" w:after="120"/>
    </w:pPr>
    <w:rPr>
      <w:rFonts w:ascii="Liberation Sans" w:hAnsi="Liberation Sans" w:eastAsia="Microsoft YaHei" w:cs="Lucida Sans"/>
      <w:sz w:val="28"/>
      <w:szCs w:val="28"/>
    </w:rPr>
  </w:style>
  <w:style w:type="paragraph" w:styleId="Caption1">
    <w:name w:val="caption1"/>
    <w:basedOn w:val="Normal"/>
    <w:qFormat/>
    <w:pPr>
      <w:suppressLineNumbers/>
      <w:spacing w:before="120" w:after="120"/>
    </w:pPr>
    <w:rPr>
      <w:rFonts w:cs="Lucida Sans"/>
      <w:i/>
      <w:iCs/>
      <w:szCs w:val="24"/>
    </w:rPr>
  </w:style>
  <w:style w:type="paragraph" w:styleId="CabealhoeRodap">
    <w:name w:val="Cabeçalho e Rodapé"/>
    <w:basedOn w:val="Normal"/>
    <w:qFormat/>
    <w:pPr/>
    <w:rPr/>
  </w:style>
  <w:style w:type="paragraph" w:styleId="Header">
    <w:name w:val="Header"/>
    <w:basedOn w:val="Normal"/>
    <w:link w:val="CabealhoChar"/>
    <w:pPr>
      <w:tabs>
        <w:tab w:val="clear" w:pos="708"/>
        <w:tab w:val="center" w:pos="4419" w:leader="none"/>
        <w:tab w:val="right" w:pos="8838" w:leader="none"/>
      </w:tabs>
    </w:pPr>
    <w:rPr/>
  </w:style>
  <w:style w:type="paragraph" w:styleId="Footer">
    <w:name w:val="Footer"/>
    <w:basedOn w:val="Normal"/>
    <w:link w:val="RodapChar"/>
    <w:pPr>
      <w:tabs>
        <w:tab w:val="clear" w:pos="708"/>
        <w:tab w:val="center" w:pos="4419" w:leader="none"/>
        <w:tab w:val="right" w:pos="8838" w:leader="none"/>
      </w:tabs>
    </w:pPr>
    <w:rPr/>
  </w:style>
  <w:style w:type="paragraph" w:styleId="ListParagraph">
    <w:name w:val="List Paragraph"/>
    <w:basedOn w:val="Normal"/>
    <w:qFormat/>
    <w:pPr>
      <w:spacing w:before="0" w:after="0"/>
      <w:ind w:hanging="0" w:left="720"/>
      <w:contextualSpacing/>
    </w:pPr>
    <w:rPr/>
  </w:style>
  <w:style w:type="paragraph" w:styleId="Tabelanormal1">
    <w:name w:val="Tabela normal1"/>
    <w:qFormat/>
    <w:pPr>
      <w:widowControl/>
      <w:suppressAutoHyphens w:val="true"/>
      <w:overflowPunct w:val="false"/>
      <w:bidi w:val="0"/>
      <w:spacing w:lineRule="auto" w:line="276" w:before="0" w:after="200"/>
      <w:jc w:val="left"/>
    </w:pPr>
    <w:rPr>
      <w:rFonts w:ascii="Times New Roman" w:hAnsi="Times New Roman" w:eastAsia="Tahoma" w:cs="Times New Roman"/>
      <w:color w:val="auto"/>
      <w:kern w:val="0"/>
      <w:sz w:val="20"/>
      <w:szCs w:val="20"/>
      <w:lang w:val="pt-BR" w:eastAsia="pt-BR" w:bidi="ar-SA"/>
    </w:rPr>
  </w:style>
  <w:style w:type="paragraph" w:styleId="Quote">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fill="FFFFCC"/>
      <w:suppressAutoHyphens w:val="false"/>
      <w:spacing w:before="120" w:after="0"/>
      <w:jc w:val="both"/>
    </w:pPr>
    <w:rPr>
      <w:rFonts w:ascii="Arial" w:hAnsi="Arial" w:eastAsia="Calibri" w:cs="Tahoma"/>
      <w:i/>
      <w:iCs/>
      <w:color w:val="000000"/>
      <w:sz w:val="20"/>
      <w:szCs w:val="24"/>
      <w:lang w:eastAsia="en-US"/>
    </w:rPr>
  </w:style>
  <w:style w:type="paragraph" w:styleId="Nivel1">
    <w:name w:val="Nivel1"/>
    <w:basedOn w:val="Heading1"/>
    <w:next w:val="Normal"/>
    <w:link w:val="Nivel1Char"/>
    <w:qFormat/>
    <w:pPr>
      <w:suppressAutoHyphens w:val="false"/>
      <w:spacing w:lineRule="auto" w:line="276" w:before="480" w:after="120"/>
      <w:jc w:val="both"/>
      <w:outlineLvl w:val="9"/>
    </w:pPr>
    <w:rPr>
      <w:rFonts w:ascii="Arial" w:hAnsi="Arial" w:cs="Arial"/>
      <w:bCs w:val="false"/>
      <w:color w:themeColor="accent1" w:themeShade="bf" w:val="000000"/>
      <w:sz w:val="32"/>
      <w:szCs w:val="32"/>
      <w:lang w:eastAsia="en-US"/>
    </w:rPr>
  </w:style>
  <w:style w:type="paragraph" w:styleId="Standard">
    <w:name w:val="Standard"/>
    <w:qFormat/>
    <w:pPr>
      <w:widowControl/>
      <w:suppressAutoHyphens w:val="true"/>
      <w:overflowPunct w:val="fals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Citao2">
    <w:name w:val="citação 2"/>
    <w:basedOn w:val="Quote"/>
    <w:qFormat/>
    <w:pPr>
      <w:suppressAutoHyphens w:val="true"/>
    </w:pPr>
    <w:rPr>
      <w:kern w:val="2"/>
      <w:szCs w:val="20"/>
      <w:lang w:eastAsia="zh-CN" w:bidi="hi-IN"/>
    </w:rPr>
  </w:style>
  <w:style w:type="paragraph" w:styleId="Nivel2">
    <w:name w:val="Nivel 2"/>
    <w:basedOn w:val="Normal"/>
    <w:link w:val="Nivel2Char"/>
    <w:qFormat/>
    <w:pPr>
      <w:suppressAutoHyphens w:val="false"/>
      <w:spacing w:lineRule="auto" w:line="276" w:before="120" w:after="120"/>
      <w:jc w:val="both"/>
    </w:pPr>
    <w:rPr>
      <w:rFonts w:ascii="Arial" w:hAnsi="Arial" w:eastAsia="Calibri" w:cs="Arial"/>
      <w:color w:val="000000"/>
      <w:sz w:val="22"/>
      <w:szCs w:val="22"/>
      <w:lang w:eastAsia="en-US"/>
    </w:rPr>
  </w:style>
  <w:style w:type="paragraph" w:styleId="Nivel3">
    <w:name w:val="Nivel 3"/>
    <w:basedOn w:val="ListParagraph"/>
    <w:qFormat/>
    <w:pPr>
      <w:tabs>
        <w:tab w:val="clear" w:pos="708"/>
        <w:tab w:val="left" w:pos="360" w:leader="none"/>
      </w:tabs>
      <w:suppressAutoHyphens w:val="false"/>
      <w:spacing w:lineRule="auto" w:line="276" w:before="120" w:after="120"/>
      <w:ind w:hanging="0" w:left="425"/>
      <w:contextualSpacing/>
      <w:jc w:val="both"/>
    </w:pPr>
    <w:rPr>
      <w:rFonts w:ascii="Arial" w:hAnsi="Arial" w:cs="Arial"/>
      <w:sz w:val="20"/>
    </w:rPr>
  </w:style>
  <w:style w:type="paragraph" w:styleId="TableParagraph">
    <w:name w:val="Table Paragraph"/>
    <w:basedOn w:val="Normal"/>
    <w:qFormat/>
    <w:pPr>
      <w:widowControl w:val="false"/>
      <w:suppressAutoHyphens w:val="false"/>
    </w:pPr>
    <w:rPr>
      <w:rFonts w:ascii="Calibri" w:hAnsi="Calibri" w:eastAsia="Calibri" w:cs="Calibri"/>
      <w:sz w:val="22"/>
      <w:szCs w:val="22"/>
      <w:lang w:val="pt-PT" w:eastAsia="en-US"/>
    </w:rPr>
  </w:style>
  <w:style w:type="paragraph" w:styleId="PADRO">
    <w:name w:val="PADRÃO"/>
    <w:qFormat/>
    <w:pPr>
      <w:keepNext w:val="true"/>
      <w:widowControl w:val="false"/>
      <w:shd w:val="clear" w:fill="FFFFFF"/>
      <w:suppressAutoHyphens w:val="true"/>
      <w:overflowPunct w:val="fals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4"/>
      <w:szCs w:val="24"/>
      <w:lang w:val="pt-BR" w:eastAsia="zh-CN" w:bidi="hi-IN"/>
    </w:rPr>
  </w:style>
  <w:style w:type="paragraph" w:styleId="Contedodatabela">
    <w:name w:val="Conteúdo da tabela"/>
    <w:basedOn w:val="Normal"/>
    <w:qFormat/>
    <w:pPr/>
    <w:rPr/>
  </w:style>
  <w:style w:type="paragraph" w:styleId="PargrafodaLista">
    <w:name w:val="Parágrafo da Lista"/>
    <w:basedOn w:val="Normal"/>
    <w:qFormat/>
    <w:pPr>
      <w:spacing w:lineRule="auto" w:line="276" w:before="0" w:after="200"/>
      <w:ind w:hanging="0" w:left="720"/>
      <w:contextualSpacing/>
    </w:pPr>
    <w:rPr>
      <w:rFonts w:ascii="Calibri" w:hAnsi="Calibri" w:eastAsia="Calibri" w:cs="Calibri"/>
      <w:sz w:val="22"/>
      <w:szCs w:val="22"/>
    </w:rPr>
  </w:style>
  <w:style w:type="paragraph" w:styleId="Default">
    <w:name w:val="Default"/>
    <w:qFormat/>
    <w:pPr>
      <w:widowControl/>
      <w:suppressAutoHyphens w:val="true"/>
      <w:overflowPunct w:val="false"/>
      <w:bidi w:val="0"/>
      <w:spacing w:before="0" w:after="0"/>
      <w:jc w:val="left"/>
    </w:pPr>
    <w:rPr>
      <w:rFonts w:ascii="Times New Roman" w:hAnsi="Times New Roman" w:eastAsia="Times New Roman" w:cs="Times New Roman"/>
      <w:color w:val="000000"/>
      <w:kern w:val="0"/>
      <w:sz w:val="24"/>
      <w:szCs w:val="24"/>
      <w:lang w:val="pt-BR" w:eastAsia="zh-CN" w:bidi="ar-SA"/>
    </w:rPr>
  </w:style>
  <w:style w:type="paragraph" w:styleId="Ttulodetabela">
    <w:name w:val="Título de tabela"/>
    <w:basedOn w:val="Contedodatabela"/>
    <w:qFormat/>
    <w:pPr>
      <w:suppressLineNumbers/>
      <w:jc w:val="center"/>
    </w:pPr>
    <w:rPr>
      <w:b/>
      <w:bCs/>
    </w:rPr>
  </w:style>
  <w:style w:type="paragraph" w:styleId="Nivel01">
    <w:name w:val="Nivel 01"/>
    <w:basedOn w:val="Heading1"/>
    <w:qFormat/>
    <w:pPr>
      <w:keepNext w:val="true"/>
      <w:keepLines/>
      <w:tabs>
        <w:tab w:val="clear" w:pos="708"/>
        <w:tab w:val="left" w:pos="567" w:leader="none"/>
      </w:tabs>
      <w:spacing w:before="240" w:after="0"/>
      <w:jc w:val="both"/>
      <w:outlineLvl w:val="9"/>
    </w:pPr>
    <w:rPr>
      <w:rFonts w:ascii="Ecofont_Spranq_eco_Sans" w:hAnsi="Ecofont_Spranq_eco_Sans" w:eastAsia="ＭＳ ゴシック" w:cs="Times New Roman"/>
      <w:b/>
      <w:bCs/>
      <w:color w:themeColor="accent1" w:themeShade="bf" w:val="000000"/>
      <w:sz w:val="20"/>
      <w:szCs w:val="20"/>
    </w:rPr>
  </w:style>
  <w:style w:type="numbering" w:styleId="NoList">
    <w:name w:val="No List"/>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assistenciasgp@gmail.com" TargetMode="External"/><Relationship Id="rId3" Type="http://schemas.openxmlformats.org/officeDocument/2006/relationships/hyperlink" Target="https://www.planalto.gov.br/ccivil_03/leis/lcp/lcp123.htm" TargetMode="External"/><Relationship Id="rId4" Type="http://schemas.openxmlformats.org/officeDocument/2006/relationships/hyperlink" Target="http://www.portaldatransparencia.gov.br/ceis" TargetMode="External"/><Relationship Id="rId5" Type="http://schemas.openxmlformats.org/officeDocument/2006/relationships/hyperlink" Target="http://www.cnj.jus.br/improbidade_adm/consultar_requerido.php" TargetMode="External"/><Relationship Id="rId6" Type="http://schemas.openxmlformats.org/officeDocument/2006/relationships/hyperlink" Target="https://www.tcees.tc.br/portal-da-transparencia/consultas/lista-de" TargetMode="External"/><Relationship Id="rId7" Type="http://schemas.openxmlformats.org/officeDocument/2006/relationships/hyperlink" Target="https://certidoesapf.apps.tcu.gov.br/" TargetMode="External"/><Relationship Id="rId8" Type="http://schemas.openxmlformats.org/officeDocument/2006/relationships/hyperlink" Target="http://www.portaldoempreendedor.gov.br/" TargetMode="External"/><Relationship Id="rId9" Type="http://schemas.openxmlformats.org/officeDocument/2006/relationships/hyperlink" Target="https://www.planalto.gov.br/ccivil_03/leis/lcp/lcp123.htm" TargetMode="External"/><Relationship Id="rId10" Type="http://schemas.openxmlformats.org/officeDocument/2006/relationships/header" Target="header1.xml"/><Relationship Id="rId11" Type="http://schemas.openxmlformats.org/officeDocument/2006/relationships/footer" Target="footer1.xml"/><Relationship Id="rId12" Type="http://schemas.openxmlformats.org/officeDocument/2006/relationships/numbering" Target="numbering.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
</Relationships>
</file>

<file path=word/_rels/header1.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752</TotalTime>
  <Application>LibreOffice/7.6.7.2$Windows_X86_64 LibreOffice_project/dd47e4b30cb7dab30588d6c79c651f218165e3c5</Application>
  <AppVersion>15.0000</AppVersion>
  <Pages>14</Pages>
  <Words>4402</Words>
  <Characters>25386</Characters>
  <CharactersWithSpaces>29589</CharactersWithSpaces>
  <Paragraphs>244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Ruth Barbara da Silwa Nascimento</dc:creator>
  <dc:description/>
  <dc:language>pt-BR</dc:language>
  <cp:lastModifiedBy/>
  <cp:lastPrinted>2024-08-06T15:18:16Z</cp:lastPrinted>
  <dcterms:modified xsi:type="dcterms:W3CDTF">2024-08-06T15:19:52Z</dcterms:modified>
  <cp:revision>120</cp:revision>
  <dc:subject/>
  <dc:title/>
</cp:coreProperties>
</file>

<file path=docProps/custom.xml><?xml version="1.0" encoding="utf-8"?>
<Properties xmlns="http://schemas.openxmlformats.org/officeDocument/2006/custom-properties" xmlns:vt="http://schemas.openxmlformats.org/officeDocument/2006/docPropsVTypes"/>
</file>